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                                                                                           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Archiv MČ Praha 5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Štefánikova 17, Praha 5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p.č. 2969 a 2970, k.ú. Smíchov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Investor: Městská část Praha 5, nám. 14. října 1381/4, Praha 5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Projektant: kcarch s.r.o . Thámova 221/7, 186 00 Praha 8</w:t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Dokumentace  pro stavební  povolení</w:t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single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single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  <w:t xml:space="preserve">D1. 3. Požárně bezpečnostní řešení stavby 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>Řešení dle vyhlášky 246/ 2001 Sb, § 41, odst. 2- DSP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>Vypracovala: ing. Svatava Čermáková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ascii="Arial" w:hAnsi="Arial"/>
          <w:b w:val="false"/>
          <w:bCs w:val="false"/>
          <w:sz w:val="20"/>
          <w:szCs w:val="20"/>
        </w:rPr>
        <w:t>Datum . 03/2020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Archiv MČ Praha 5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Štefánikova 17, Praha 5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p.č. 2969 a 2970, k.ú. Smíchov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Investor: Městská část Praha 5, nám. 14. října 1381/4, Praha 5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Projektant: kcarch s.r.o . Thámova 221/7, 186 00 Praha 8</w:t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Dokumentace  pro stavební  povolení</w:t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single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single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  <w:t xml:space="preserve">D1. 3. Požárně bezpečnostní řešení stavby 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Řešení dle vyhlášky 246/ 2001 Sb, § 41, odst. 2- DSP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A/ seznam použitých podkladů  pro zpracování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B/ stru</w:t>
      </w:r>
      <w:r>
        <w:rPr>
          <w:rFonts w:eastAsia="MS Mincho;ＭＳ 明朝" w:cs="Arial" w:ascii="Arial" w:hAnsi="Arial"/>
          <w:b/>
          <w:bCs/>
          <w:sz w:val="20"/>
          <w:szCs w:val="20"/>
        </w:rPr>
        <w:t>čný</w:t>
      </w:r>
      <w:r>
        <w:rPr>
          <w:rFonts w:cs="Arial" w:ascii="Arial" w:hAnsi="Arial"/>
          <w:b/>
          <w:bCs/>
          <w:sz w:val="20"/>
          <w:szCs w:val="20"/>
        </w:rPr>
        <w:t xml:space="preserve"> popis stavby z hlediska stavebních konstrukcí, výšky stavby, účelu užití, popřípadě popisu a zhodnocení technologie a provozu, umístění sta</w:t>
      </w:r>
      <w:r>
        <w:rPr>
          <w:rFonts w:eastAsia="MS Mincho;ＭＳ 明朝" w:cs="Arial" w:ascii="Arial" w:hAnsi="Arial"/>
          <w:b/>
          <w:bCs/>
          <w:sz w:val="20"/>
          <w:szCs w:val="20"/>
        </w:rPr>
        <w:t>vby</w:t>
      </w:r>
      <w:r>
        <w:rPr>
          <w:rFonts w:cs="Arial" w:ascii="Arial" w:hAnsi="Arial"/>
          <w:b/>
          <w:bCs/>
          <w:sz w:val="20"/>
          <w:szCs w:val="20"/>
        </w:rPr>
        <w:t xml:space="preserve"> ve vztahu k okolní zástavbě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C/ rozd</w:t>
      </w:r>
      <w:r>
        <w:rPr>
          <w:rFonts w:eastAsia="MS Mincho;ＭＳ 明朝"/>
          <w:b/>
          <w:bCs/>
          <w:sz w:val="20"/>
          <w:szCs w:val="20"/>
        </w:rPr>
        <w:t>ělení</w:t>
      </w:r>
      <w:r>
        <w:rPr>
          <w:b/>
          <w:bCs/>
          <w:sz w:val="20"/>
          <w:szCs w:val="20"/>
        </w:rPr>
        <w:t xml:space="preserve"> stavby do po</w:t>
      </w:r>
      <w:r>
        <w:rPr>
          <w:rFonts w:eastAsia="MS Mincho;ＭＳ 明朝"/>
          <w:b/>
          <w:bCs/>
          <w:sz w:val="20"/>
          <w:szCs w:val="20"/>
        </w:rPr>
        <w:t>žárních</w:t>
      </w:r>
      <w:r>
        <w:rPr>
          <w:b/>
          <w:bCs/>
          <w:sz w:val="20"/>
          <w:szCs w:val="20"/>
        </w:rPr>
        <w:t xml:space="preserve"> úseků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D/ stanovení požárního rizika, stanovení stupně požární  bezpečnost a posouzení   velikosti  požárních  úseků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E/ zhodnocení navr</w:t>
      </w:r>
      <w:r>
        <w:rPr>
          <w:rFonts w:eastAsia="MS Mincho;ＭＳ 明朝"/>
          <w:b/>
          <w:bCs/>
          <w:sz w:val="20"/>
          <w:szCs w:val="20"/>
        </w:rPr>
        <w:t>žených</w:t>
      </w:r>
      <w:r>
        <w:rPr>
          <w:b/>
          <w:bCs/>
          <w:sz w:val="20"/>
          <w:szCs w:val="20"/>
        </w:rPr>
        <w:t xml:space="preserve"> stavebních konstrukcí a požárních uzávěrů z hlediska jejich požární odolnosti,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F/ zhodnocení navr</w:t>
      </w:r>
      <w:r>
        <w:rPr>
          <w:rFonts w:eastAsia="MS Mincho;ＭＳ 明朝"/>
          <w:b/>
          <w:bCs/>
          <w:sz w:val="20"/>
          <w:szCs w:val="20"/>
        </w:rPr>
        <w:t>žených</w:t>
      </w:r>
      <w:r>
        <w:rPr>
          <w:b/>
          <w:bCs/>
          <w:sz w:val="20"/>
          <w:szCs w:val="20"/>
        </w:rPr>
        <w:t xml:space="preserve"> stavebních hmot (stupeň hořlavosti, odkapávání v podmínkách požáru, rychlost šíření plamene po povrchu, toxicita zplodin hoření apod.),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G/ zhodnocení mo</w:t>
      </w:r>
      <w:r>
        <w:rPr>
          <w:rFonts w:eastAsia="MS Mincho;ＭＳ 明朝"/>
          <w:b/>
          <w:bCs/>
          <w:sz w:val="20"/>
          <w:szCs w:val="20"/>
        </w:rPr>
        <w:t>žnosti</w:t>
      </w:r>
      <w:r>
        <w:rPr>
          <w:b/>
          <w:bCs/>
          <w:sz w:val="20"/>
          <w:szCs w:val="20"/>
        </w:rPr>
        <w:t xml:space="preserve"> provedení požárního zásahu, evakuace osob, zvířat a majetku a stanovení druh</w:t>
      </w:r>
      <w:r>
        <w:rPr>
          <w:rFonts w:eastAsia="MS Mincho;ＭＳ 明朝"/>
          <w:b/>
          <w:bCs/>
          <w:sz w:val="20"/>
          <w:szCs w:val="20"/>
        </w:rPr>
        <w:t>ů</w:t>
      </w:r>
      <w:r>
        <w:rPr>
          <w:b/>
          <w:bCs/>
          <w:sz w:val="20"/>
          <w:szCs w:val="20"/>
        </w:rPr>
        <w:t xml:space="preserve"> a počtu únikových cest, jejich kapacity, provedení a vybavení,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H/ stanovení odstupových, pop</w:t>
      </w:r>
      <w:r>
        <w:rPr>
          <w:rFonts w:eastAsia="MS Mincho;ＭＳ 明朝"/>
          <w:b/>
          <w:bCs/>
          <w:sz w:val="20"/>
          <w:szCs w:val="20"/>
        </w:rPr>
        <w:t>řípadě</w:t>
      </w:r>
      <w:r>
        <w:rPr>
          <w:b/>
          <w:bCs/>
          <w:sz w:val="20"/>
          <w:szCs w:val="20"/>
        </w:rPr>
        <w:t xml:space="preserve"> bezpečnostních vzdáleností a vymezení požárně nebezpečného prostoru, zhodnocení odstupových, popřípadě bezpečnostních vzdáleností ve vztahu k okolní zástavb</w:t>
      </w:r>
      <w:r>
        <w:rPr>
          <w:rFonts w:eastAsia="MS Mincho;ＭＳ 明朝"/>
          <w:b/>
          <w:bCs/>
          <w:sz w:val="20"/>
          <w:szCs w:val="20"/>
        </w:rPr>
        <w:t>ě,</w:t>
      </w:r>
      <w:r>
        <w:rPr>
          <w:b/>
          <w:bCs/>
          <w:sz w:val="20"/>
          <w:szCs w:val="20"/>
        </w:rPr>
        <w:t xml:space="preserve"> sousedním pozemkům a volným skladům,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I /ur</w:t>
      </w:r>
      <w:r>
        <w:rPr>
          <w:rFonts w:eastAsia="MS Mincho;ＭＳ 明朝"/>
          <w:b/>
          <w:bCs/>
          <w:sz w:val="20"/>
          <w:szCs w:val="20"/>
        </w:rPr>
        <w:t>čení</w:t>
      </w:r>
      <w:r>
        <w:rPr>
          <w:b/>
          <w:bCs/>
          <w:sz w:val="20"/>
          <w:szCs w:val="20"/>
        </w:rPr>
        <w:t xml:space="preserve"> způsobu zabezpečení stavby požární vodou včetně rozmístění vnitřních a vnějších odběrních míst, popřípadě způsobu zabezpečení jiných hasebních prostředků u staveb, kde nelze použít vodu jako hasební látku,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J/vymezení zásahových cest a jejich technického vybavení, opat</w:t>
      </w:r>
      <w:r>
        <w:rPr>
          <w:rFonts w:eastAsia="MS Mincho;ＭＳ 明朝"/>
          <w:b/>
          <w:bCs/>
          <w:sz w:val="20"/>
          <w:szCs w:val="20"/>
        </w:rPr>
        <w:t>ření</w:t>
      </w:r>
      <w:r>
        <w:rPr>
          <w:b/>
          <w:bCs/>
          <w:sz w:val="20"/>
          <w:szCs w:val="20"/>
        </w:rPr>
        <w:t xml:space="preserve"> k zajištění bezpečnosti osob provádějících hašení požáru a záchranné práce, zhodnocení příjezdových komunikací, popřípadě nástupních ploch pro požární techniku,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K/  stanovení po</w:t>
      </w:r>
      <w:r>
        <w:rPr>
          <w:rFonts w:eastAsia="MS Mincho;ＭＳ 明朝"/>
          <w:b/>
          <w:bCs/>
          <w:sz w:val="20"/>
          <w:szCs w:val="20"/>
        </w:rPr>
        <w:t>čtu,</w:t>
      </w:r>
      <w:r>
        <w:rPr>
          <w:b/>
          <w:bCs/>
          <w:sz w:val="20"/>
          <w:szCs w:val="20"/>
        </w:rPr>
        <w:t xml:space="preserve"> druhů a způsobu rozmístění hasicích přístrojů, popřípadě dalších věcných prostředků požární ochrany nebo požární techniky,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L/ zhodnocení technických, pop</w:t>
      </w:r>
      <w:r>
        <w:rPr>
          <w:rFonts w:eastAsia="MS Mincho;ＭＳ 明朝"/>
          <w:b/>
          <w:bCs/>
          <w:sz w:val="20"/>
          <w:szCs w:val="20"/>
        </w:rPr>
        <w:t>řípadě</w:t>
      </w:r>
      <w:r>
        <w:rPr>
          <w:b/>
          <w:bCs/>
          <w:sz w:val="20"/>
          <w:szCs w:val="20"/>
        </w:rPr>
        <w:t xml:space="preserve"> technologických zařízení stavby (rozvodná potrubí, vzduchotechnická zařízení, vytápění apod.) z hlediska po</w:t>
      </w:r>
      <w:r>
        <w:rPr>
          <w:rFonts w:eastAsia="MS Mincho;ＭＳ 明朝"/>
          <w:b/>
          <w:bCs/>
          <w:sz w:val="20"/>
          <w:szCs w:val="20"/>
        </w:rPr>
        <w:t>žadavků</w:t>
      </w:r>
      <w:r>
        <w:rPr>
          <w:b/>
          <w:bCs/>
          <w:sz w:val="20"/>
          <w:szCs w:val="20"/>
        </w:rPr>
        <w:t xml:space="preserve"> požární bezpečnosti,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M/ stanovení zvlá</w:t>
      </w:r>
      <w:r>
        <w:rPr>
          <w:rFonts w:eastAsia="MS Mincho;ＭＳ 明朝"/>
          <w:b/>
          <w:bCs/>
          <w:sz w:val="20"/>
          <w:szCs w:val="20"/>
        </w:rPr>
        <w:t>štních</w:t>
      </w:r>
      <w:r>
        <w:rPr>
          <w:b/>
          <w:bCs/>
          <w:sz w:val="20"/>
          <w:szCs w:val="20"/>
        </w:rPr>
        <w:t xml:space="preserve"> požadavků na zvýšení požární odolnosti stavebních konstrukcí nebo sní</w:t>
      </w:r>
      <w:r>
        <w:rPr>
          <w:rFonts w:eastAsia="MS Mincho;ＭＳ 明朝"/>
          <w:b/>
          <w:bCs/>
          <w:sz w:val="20"/>
          <w:szCs w:val="20"/>
        </w:rPr>
        <w:t>žení</w:t>
      </w:r>
      <w:r>
        <w:rPr>
          <w:b/>
          <w:bCs/>
          <w:sz w:val="20"/>
          <w:szCs w:val="20"/>
        </w:rPr>
        <w:t xml:space="preserve"> hořlavosti stavebních hmot. 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</w:rPr>
        <w:t>N/ posouzení po</w:t>
      </w:r>
      <w:r>
        <w:rPr>
          <w:rFonts w:eastAsia="MS Mincho;ＭＳ 明朝"/>
          <w:b/>
          <w:bCs/>
          <w:sz w:val="20"/>
          <w:szCs w:val="20"/>
        </w:rPr>
        <w:t>žadavků</w:t>
      </w:r>
      <w:r>
        <w:rPr>
          <w:b/>
          <w:bCs/>
          <w:sz w:val="20"/>
          <w:szCs w:val="20"/>
        </w:rPr>
        <w:t xml:space="preserve"> na zabezpečení stavby požárně bezpečnostními zařízeními, následn</w:t>
      </w:r>
      <w:r>
        <w:rPr>
          <w:rFonts w:eastAsia="MS Mincho;ＭＳ 明朝"/>
          <w:b/>
          <w:bCs/>
          <w:sz w:val="20"/>
          <w:szCs w:val="20"/>
        </w:rPr>
        <w:t>ě</w:t>
      </w:r>
      <w:r>
        <w:rPr>
          <w:b/>
          <w:bCs/>
          <w:sz w:val="20"/>
          <w:szCs w:val="20"/>
        </w:rPr>
        <w:t xml:space="preserve"> stanovení podmínek a návrh způsobu jejich umístění a instalace do stavby.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O/ rozsah a  způsob rozmístění výstražných  a  bezpečnostních značek a tabulek včetně  vyhodnocení  míst na kterých  se nachází věcné prostředky  požární  ochrany  a požárně  bezpečnostní  zařízení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none"/>
        </w:rPr>
      </w:pPr>
      <w:r>
        <w:rPr>
          <w:rFonts w:cs="Arial"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none"/>
        </w:rPr>
      </w:pPr>
      <w:r>
        <w:rPr>
          <w:rFonts w:cs="Arial" w:ascii="Arial" w:hAnsi="Arial"/>
          <w:b/>
          <w:bCs/>
          <w:sz w:val="20"/>
          <w:szCs w:val="20"/>
          <w:u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  <w:t>A/  Seznam podkladů ,popis a umístění stavby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Řešení dle vyhlášky 246/ 2001 Sb, § 41, odst. 2, písm.a </w:t>
      </w:r>
    </w:p>
    <w:p>
      <w:pPr>
        <w:pStyle w:val="Normal"/>
        <w:bidi w:val="0"/>
        <w:spacing w:before="0" w:after="0"/>
        <w:jc w:val="both"/>
        <w:rPr>
          <w:rStyle w:val="InternetLink"/>
          <w:rFonts w:ascii="Arial" w:hAnsi="Arial" w:cs="Arial"/>
          <w:b/>
          <w:b/>
          <w:bCs/>
          <w:color w:val="FF0000"/>
          <w:sz w:val="20"/>
          <w:szCs w:val="20"/>
          <w:u w:val="none"/>
        </w:rPr>
      </w:pPr>
      <w:r>
        <w:rPr>
          <w:rFonts w:cs="Arial"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1/  Projektové podklady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735" w:leader="none"/>
        </w:tabs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dokumentace pro stavební povolení , půdorysy, řezy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2/ Normy</w:t>
      </w:r>
    </w:p>
    <w:p>
      <w:pPr>
        <w:pStyle w:val="Normal"/>
        <w:bidi w:val="0"/>
        <w:spacing w:lineRule="atLeast" w:line="100" w:before="120" w:after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ČSN 73 0802 - Požární bezpečnost staveb. Nevýrobní objekty z 05/2009, ČSN 730802 / Z3</w:t>
      </w:r>
    </w:p>
    <w:p>
      <w:pPr>
        <w:pStyle w:val="Normal"/>
        <w:bidi w:val="0"/>
        <w:spacing w:lineRule="atLeast" w:line="100" w:before="120" w:after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ČSN 730834 -  Požární bezpečnost staveb- Změny staveb z 03/2011, </w:t>
      </w:r>
    </w:p>
    <w:p>
      <w:pPr>
        <w:pStyle w:val="Normal"/>
        <w:bidi w:val="0"/>
        <w:spacing w:lineRule="atLeast" w:line="100" w:before="120" w:after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ČSN 730804 - Požární bezpečnost staveb- Výrobní objekty Z1-Z3</w:t>
      </w:r>
    </w:p>
    <w:p>
      <w:pPr>
        <w:pStyle w:val="Normal"/>
        <w:bidi w:val="0"/>
        <w:spacing w:lineRule="atLeast" w:line="100" w:before="120" w:after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ČSN 73 0810 - Požární bezpečnost staveb.-Společná ustanovení – 06/2016</w:t>
      </w:r>
    </w:p>
    <w:p>
      <w:pPr>
        <w:pStyle w:val="Normal"/>
        <w:bidi w:val="0"/>
        <w:spacing w:lineRule="atLeast" w:line="100" w:before="120" w:after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ČSN 73 0818 - Požární bezpečnost staveb. Obsazení objektu osobami</w:t>
      </w:r>
    </w:p>
    <w:p>
      <w:pPr>
        <w:pStyle w:val="Heading3"/>
        <w:tabs>
          <w:tab w:val="clear" w:pos="709"/>
          <w:tab w:val="left" w:pos="0" w:leader="none"/>
        </w:tabs>
        <w:bidi w:val="0"/>
        <w:spacing w:lineRule="auto" w:line="360" w:before="120" w:after="0"/>
        <w:ind w:left="0" w:right="0" w:hanging="0"/>
        <w:jc w:val="left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ČSN 73 0821 - Požární bezpečnost staveb. Požární odolnost stavebních konstrukcí</w:t>
      </w:r>
    </w:p>
    <w:p>
      <w:pPr>
        <w:pStyle w:val="Normal"/>
        <w:tabs>
          <w:tab w:val="clear" w:pos="709"/>
          <w:tab w:val="left" w:pos="0" w:leader="none"/>
        </w:tabs>
        <w:bidi w:val="0"/>
        <w:spacing w:lineRule="auto" w:line="36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ČSN 730872 – Požární bezpečnost staveb. Ochrana staveb proti šíření požáru VZT potrubím.</w:t>
      </w:r>
    </w:p>
    <w:p>
      <w:pPr>
        <w:pStyle w:val="Normal"/>
        <w:tabs>
          <w:tab w:val="clear" w:pos="709"/>
          <w:tab w:val="left" w:pos="0" w:leader="none"/>
        </w:tabs>
        <w:bidi w:val="0"/>
        <w:spacing w:lineRule="atLeast" w:line="1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ČSN 73 0873 - Požární bezpečnost staveb. Zásobování požární vodou</w:t>
      </w:r>
    </w:p>
    <w:p>
      <w:pPr>
        <w:pStyle w:val="Normal"/>
        <w:bidi w:val="0"/>
        <w:spacing w:lineRule="atLeast" w:line="100" w:before="120" w:after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ČSN 73 0875 - Požární bezpečnost staveb. Navrhování elektrické požární signalizace                                                    </w:t>
      </w:r>
    </w:p>
    <w:p>
      <w:pPr>
        <w:pStyle w:val="Normal"/>
        <w:bidi w:val="0"/>
        <w:spacing w:lineRule="atLeast" w:line="100" w:before="120" w:after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Hodnoty požární odolnosti stavebních konstrukcí  podle Eurokódů  - Zoufal a kolektiv</w:t>
      </w:r>
    </w:p>
    <w:p>
      <w:pPr>
        <w:pStyle w:val="Normal"/>
        <w:bidi w:val="0"/>
        <w:spacing w:lineRule="atLeast" w:line="10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3/ Vyhlášky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uto" w:line="36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Vyhláška MV 246/ 2001 Sb.,</w:t>
      </w:r>
    </w:p>
    <w:p>
      <w:pPr>
        <w:pStyle w:val="Normal"/>
        <w:bidi w:val="0"/>
        <w:spacing w:lineRule="auto" w:line="36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Vyhláška MV č. 202/ 1999 Sb., kterou se stanoví technické podmínky požárních a kouřotěsných  dveří</w:t>
      </w:r>
    </w:p>
    <w:p>
      <w:pPr>
        <w:pStyle w:val="Normal"/>
        <w:bidi w:val="0"/>
        <w:spacing w:lineRule="auto" w:line="36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Vyhl. č. 23 /2008 o technických podmínkách požární ochrany staveb z 10/2008 a 09/2011</w:t>
      </w:r>
    </w:p>
    <w:p>
      <w:pPr>
        <w:pStyle w:val="Zkladntext31"/>
        <w:tabs>
          <w:tab w:val="clear" w:pos="709"/>
          <w:tab w:val="left" w:pos="8175" w:leader="none"/>
        </w:tabs>
        <w:bidi w:val="0"/>
        <w:spacing w:lineRule="auto" w:line="36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- Vyhl. č. 268/2009 Sb., vyhláška o technických požadavcích na stavby, ve znění pozdějších předpisů</w:t>
      </w:r>
    </w:p>
    <w:p>
      <w:pPr>
        <w:pStyle w:val="Zkladntext31"/>
        <w:tabs>
          <w:tab w:val="clear" w:pos="709"/>
          <w:tab w:val="left" w:pos="8175" w:leader="none"/>
        </w:tabs>
        <w:bidi w:val="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- Zákon č. 183/2006 Sb., o územním plánování a stavebním řádu, ve znění pozdějších předpisů</w:t>
      </w:r>
    </w:p>
    <w:p>
      <w:pPr>
        <w:pStyle w:val="Zkladntext31"/>
        <w:tabs>
          <w:tab w:val="clear" w:pos="709"/>
          <w:tab w:val="left" w:pos="8175" w:leader="none"/>
        </w:tabs>
        <w:bidi w:val="0"/>
        <w:spacing w:lineRule="auto" w:line="36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- Zákon č. 186/2006 Sb., o změně některých zákonů souvisejících s přijetím stavebního zákona a zákona o vyvlastnění.</w:t>
      </w:r>
    </w:p>
    <w:p>
      <w:pPr>
        <w:pStyle w:val="Zkladntext31"/>
        <w:tabs>
          <w:tab w:val="clear" w:pos="709"/>
          <w:tab w:val="left" w:pos="8175" w:leader="none"/>
        </w:tabs>
        <w:bidi w:val="0"/>
        <w:spacing w:lineRule="auto" w:line="36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- Vyhl. č. 499/2006 Sb., o dokumentaci staveb, ve znění pozdějších předpisů</w:t>
      </w:r>
    </w:p>
    <w:p>
      <w:pPr>
        <w:pStyle w:val="Normal"/>
        <w:bidi w:val="0"/>
        <w:jc w:val="left"/>
        <w:rPr>
          <w:rStyle w:val="InternetLink"/>
          <w:rFonts w:ascii="Arial" w:hAnsi="Arial" w:cs="Arial"/>
          <w:b/>
          <w:b/>
          <w:bCs/>
          <w:color w:val="000000"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spacing w:before="0" w:after="0"/>
        <w:jc w:val="both"/>
        <w:rPr>
          <w:rStyle w:val="InternetLink"/>
          <w:rFonts w:cs="Arial"/>
          <w:b w:val="false"/>
          <w:b w:val="false"/>
          <w:bCs w:val="false"/>
          <w:color w:val="00000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spacing w:before="0" w:after="0"/>
        <w:jc w:val="both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cs="Arial" w:ascii="Arial" w:hAnsi="Arial"/>
          <w:b/>
          <w:bCs/>
          <w:color w:val="000000"/>
          <w:sz w:val="22"/>
          <w:szCs w:val="22"/>
          <w:u w:val="single"/>
        </w:rPr>
        <w:t>B/ stru</w:t>
      </w:r>
      <w:r>
        <w:rPr>
          <w:rStyle w:val="InternetLink"/>
          <w:rFonts w:eastAsia="MS Mincho;ＭＳ 明朝" w:cs="Arial" w:ascii="Arial" w:hAnsi="Arial"/>
          <w:b/>
          <w:bCs/>
          <w:color w:val="000000"/>
          <w:sz w:val="22"/>
          <w:szCs w:val="22"/>
          <w:u w:val="single"/>
        </w:rPr>
        <w:t>čný</w:t>
      </w:r>
      <w:r>
        <w:rPr>
          <w:rStyle w:val="InternetLink"/>
          <w:rFonts w:cs="Arial" w:ascii="Arial" w:hAnsi="Arial"/>
          <w:b/>
          <w:bCs/>
          <w:color w:val="000000"/>
          <w:sz w:val="22"/>
          <w:szCs w:val="22"/>
          <w:u w:val="single"/>
        </w:rPr>
        <w:t xml:space="preserve"> popis stavby z hlediska stavebních konstrukcí, výšky stavby, účelu užití, popřípadě popisu a zhodnocení technologie a provozu, umístění sta</w:t>
      </w:r>
      <w:r>
        <w:rPr>
          <w:rStyle w:val="InternetLink"/>
          <w:rFonts w:eastAsia="MS Mincho;ＭＳ 明朝" w:cs="Arial" w:ascii="Arial" w:hAnsi="Arial"/>
          <w:b/>
          <w:bCs/>
          <w:color w:val="000000"/>
          <w:sz w:val="22"/>
          <w:szCs w:val="22"/>
          <w:u w:val="single"/>
        </w:rPr>
        <w:t>vby</w:t>
      </w:r>
      <w:r>
        <w:rPr>
          <w:rStyle w:val="InternetLink"/>
          <w:rFonts w:cs="Arial" w:ascii="Arial" w:hAnsi="Arial"/>
          <w:b/>
          <w:bCs/>
          <w:color w:val="000000"/>
          <w:sz w:val="22"/>
          <w:szCs w:val="22"/>
          <w:u w:val="single"/>
        </w:rPr>
        <w:t xml:space="preserve"> ve vztahu k okolní zástavbě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Řešení dle vyhlášky 246/ 2001 Sb, § 41, odst. 2, písm.b </w:t>
      </w:r>
    </w:p>
    <w:p>
      <w:pPr>
        <w:pStyle w:val="Normal"/>
        <w:bidi w:val="0"/>
        <w:spacing w:before="0" w:after="0"/>
        <w:jc w:val="both"/>
        <w:rPr>
          <w:rStyle w:val="InternetLink"/>
          <w:rFonts w:cs="Arial"/>
          <w:b w:val="false"/>
          <w:b w:val="false"/>
          <w:bCs w:val="false"/>
          <w:color w:val="FF000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spacing w:before="0" w:after="0"/>
        <w:jc w:val="both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eastAsia="ArialMT" w:cs="ArialMT" w:ascii="ArialMT" w:hAnsi="ArialMT"/>
          <w:b w:val="false"/>
          <w:bCs w:val="false"/>
          <w:color w:val="000000"/>
          <w:sz w:val="20"/>
          <w:szCs w:val="20"/>
          <w:u w:val="none"/>
        </w:rPr>
        <w:t>Stavební pozemek je součástí blokové zástavby pražského Smíchova. Je z převážné části zastavěn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b w:val="false"/>
          <w:b w:val="false"/>
          <w:bCs w:val="false"/>
          <w:sz w:val="20"/>
          <w:szCs w:val="20"/>
        </w:rPr>
      </w:pPr>
      <w:r>
        <w:rPr>
          <w:rFonts w:eastAsia="ArialMT" w:cs="ArialMT" w:ascii="ArialMT" w:hAnsi="ArialMT"/>
          <w:b w:val="false"/>
          <w:bCs w:val="false"/>
          <w:sz w:val="20"/>
          <w:szCs w:val="20"/>
        </w:rPr>
        <w:t>administrativní budovou z 1. pol. 20. století, která je ustoupena o necelých 12m za uliční čáru.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V budově je zřízena pasáž, která slouží jako boční vchod do obchodního centra Nový Smíchov.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Budova je přístupná též z jižní strany ze dvora (parkoviště) budovy Štefánikova 19, též v majteku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MČ Praha 5.</w:t>
      </w:r>
    </w:p>
    <w:p>
      <w:pPr>
        <w:pStyle w:val="Normal"/>
        <w:bidi w:val="0"/>
        <w:spacing w:before="0" w:after="0"/>
        <w:jc w:val="both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eastAsia="ArialMT" w:cs="ArialMT" w:ascii="ArialMT" w:hAnsi="ArialMT"/>
          <w:b w:val="false"/>
          <w:bCs w:val="false"/>
          <w:color w:val="000000"/>
          <w:sz w:val="20"/>
          <w:szCs w:val="20"/>
          <w:u w:val="none"/>
        </w:rPr>
        <w:t>Stavba se nachází v památkové zóně Praha 5 - Smíchov a v ochranném pásmu městské památkové</w:t>
      </w:r>
    </w:p>
    <w:p>
      <w:pPr>
        <w:pStyle w:val="Normal"/>
        <w:autoSpaceDE w:val="false"/>
        <w:bidi w:val="0"/>
        <w:jc w:val="left"/>
        <w:rPr>
          <w:rFonts w:ascii="ArialMT" w:hAnsi="ArialMT"/>
          <w:sz w:val="20"/>
          <w:szCs w:val="20"/>
        </w:rPr>
      </w:pPr>
      <w:r>
        <w:rPr>
          <w:rFonts w:eastAsia="ArialMT" w:cs="ArialMT" w:ascii="ArialMT" w:hAnsi="ArialMT"/>
          <w:b w:val="false"/>
          <w:bCs w:val="false"/>
          <w:sz w:val="20"/>
          <w:szCs w:val="20"/>
          <w:u w:val="none"/>
        </w:rPr>
        <w:t>rezervace hl. m. Prahy, sama není předmětem památkové ochrany</w:t>
      </w:r>
      <w:r>
        <w:rPr>
          <w:rFonts w:eastAsia="ArialMT" w:cs="ArialMT" w:ascii="ArialMT" w:hAnsi="ArialMT"/>
          <w:sz w:val="20"/>
          <w:szCs w:val="20"/>
        </w:rPr>
        <w:t>.</w:t>
      </w:r>
    </w:p>
    <w:p>
      <w:pPr>
        <w:pStyle w:val="Normal"/>
        <w:bidi w:val="0"/>
        <w:spacing w:before="0" w:after="0"/>
        <w:jc w:val="both"/>
        <w:rPr>
          <w:rStyle w:val="InternetLink"/>
          <w:rFonts w:ascii="ArialMT" w:hAnsi="ArialMT" w:eastAsia="ArialMT" w:cs="Arial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spacing w:before="0" w:after="0"/>
        <w:jc w:val="both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eastAsia="ArialMT" w:cs="ArialMT" w:ascii="ArialMT" w:hAnsi="ArialMT"/>
          <w:b w:val="false"/>
          <w:bCs w:val="false"/>
          <w:color w:val="000000"/>
          <w:sz w:val="20"/>
          <w:szCs w:val="20"/>
          <w:u w:val="none"/>
        </w:rPr>
        <w:t xml:space="preserve">Jedná se o změnu dokončené stavby administrativní budovy. </w:t>
      </w:r>
    </w:p>
    <w:p>
      <w:pPr>
        <w:pStyle w:val="Normal"/>
        <w:bidi w:val="0"/>
        <w:spacing w:before="0" w:after="0"/>
        <w:jc w:val="both"/>
        <w:rPr>
          <w:rFonts w:ascii="Arial" w:hAnsi="Arial"/>
          <w:sz w:val="20"/>
          <w:szCs w:val="20"/>
        </w:rPr>
      </w:pPr>
      <w:r>
        <w:rPr>
          <w:rStyle w:val="InternetLink"/>
          <w:rFonts w:eastAsia="ArialMT" w:cs="ArialMT" w:ascii="ArialMT" w:hAnsi="ArialMT"/>
          <w:b/>
          <w:bCs/>
          <w:color w:val="000000"/>
          <w:sz w:val="20"/>
          <w:szCs w:val="20"/>
          <w:u w:val="none"/>
        </w:rPr>
        <w:t xml:space="preserve">Stávající budova má 6 nadzemních a 2 </w:t>
      </w:r>
      <w:r>
        <w:rPr>
          <w:rFonts w:eastAsia="ArialMT" w:cs="ArialMT" w:ascii="ArialMT" w:hAnsi="ArialMT"/>
          <w:b/>
          <w:bCs/>
          <w:sz w:val="20"/>
          <w:szCs w:val="20"/>
          <w:u w:val="none"/>
        </w:rPr>
        <w:t>po</w:t>
      </w:r>
      <w:r>
        <w:rPr>
          <w:rFonts w:eastAsia="ArialMT" w:cs="ArialMT" w:ascii="ArialMT" w:hAnsi="ArialMT"/>
          <w:b/>
          <w:bCs/>
          <w:sz w:val="20"/>
          <w:szCs w:val="20"/>
        </w:rPr>
        <w:t xml:space="preserve">dzemní podlaží. </w:t>
      </w:r>
      <w:r>
        <w:rPr>
          <w:rFonts w:eastAsia="ArialMT" w:cs="ArialMT" w:ascii="ArialMT" w:hAnsi="ArialMT"/>
          <w:sz w:val="20"/>
          <w:szCs w:val="20"/>
        </w:rPr>
        <w:t>V přízemí (1.NP) se nachází pasáž obchodního centra Nový Smíchov, obchodní prostory a vstupní prostory do administrativy. Ve vyšších podlaží jsou administrativní prostory České spořitelny.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V podzemních podlažích jsou technické místnosti, sklady České spořitelny a místnosti bez využití.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Navržené stavební úpravy se týkají zejména dvorního křídla 1.PP, a menších částí 1.NP a 2.PP.</w:t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  <w:u w:val="single"/>
        </w:rPr>
        <w:t>Konstrukční systém stávajího objektu</w:t>
      </w:r>
      <w:r>
        <w:rPr>
          <w:rFonts w:ascii="Arial" w:hAnsi="Arial"/>
          <w:b/>
          <w:bCs/>
          <w:sz w:val="20"/>
          <w:szCs w:val="20"/>
        </w:rPr>
        <w:t xml:space="preserve"> : DP1 ( nehořlavý) 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b w:val="false"/>
          <w:b w:val="false"/>
          <w:bCs w:val="false"/>
          <w:sz w:val="20"/>
          <w:szCs w:val="20"/>
        </w:rPr>
      </w:pPr>
      <w:r>
        <w:rPr>
          <w:rFonts w:eastAsia="ArialMT" w:cs="ArialMT" w:ascii="ArialMT" w:hAnsi="ArialMT"/>
          <w:b w:val="false"/>
          <w:bCs w:val="false"/>
          <w:sz w:val="20"/>
          <w:szCs w:val="20"/>
        </w:rPr>
        <w:t>Stavba je zděná s monolitickými žebírkovými stropy</w:t>
      </w:r>
    </w:p>
    <w:p>
      <w:pPr>
        <w:pStyle w:val="Normal"/>
        <w:bidi w:val="0"/>
        <w:jc w:val="left"/>
        <w:rPr>
          <w:rStyle w:val="InternetLink"/>
          <w:rFonts w:cs="Arial"/>
          <w:color w:val="000000"/>
          <w:u w:val="singl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cs="Arial" w:ascii="Arial" w:hAnsi="Arial"/>
          <w:b/>
          <w:bCs/>
          <w:color w:val="000000"/>
          <w:sz w:val="20"/>
          <w:szCs w:val="20"/>
          <w:u w:val="single"/>
        </w:rPr>
        <w:t xml:space="preserve">Požární výšky  objektu : </w:t>
      </w:r>
    </w:p>
    <w:p>
      <w:pPr>
        <w:pStyle w:val="Normal"/>
        <w:bidi w:val="0"/>
        <w:jc w:val="left"/>
        <w:rPr>
          <w:rStyle w:val="InternetLink"/>
          <w:rFonts w:cs="Arial"/>
          <w:color w:val="00000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cs="Arial" w:ascii="Arial" w:hAnsi="Arial"/>
          <w:b/>
          <w:bCs/>
          <w:color w:val="000000"/>
          <w:sz w:val="20"/>
          <w:szCs w:val="20"/>
          <w:u w:val="none"/>
        </w:rPr>
        <w:t>a/ pro podzemní podlaží …...............h = 30 m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cs="Arial" w:ascii="Arial" w:hAnsi="Arial"/>
          <w:b/>
          <w:bCs/>
          <w:color w:val="000000"/>
          <w:sz w:val="20"/>
          <w:szCs w:val="20"/>
          <w:u w:val="none"/>
        </w:rPr>
        <w:t>b/ pro nadzemní podlaží...................h &lt; 22,5 m</w:t>
      </w:r>
    </w:p>
    <w:p>
      <w:pPr>
        <w:pStyle w:val="Normal"/>
        <w:bidi w:val="0"/>
        <w:jc w:val="left"/>
        <w:rPr>
          <w:rStyle w:val="InternetLink"/>
          <w:rFonts w:cs="Arial"/>
          <w:color w:val="00000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cs="Arial" w:ascii="Arial" w:hAnsi="Arial"/>
          <w:b/>
          <w:bCs/>
          <w:color w:val="000000"/>
          <w:sz w:val="20"/>
          <w:szCs w:val="20"/>
          <w:u w:val="none"/>
        </w:rPr>
        <w:t>Z hlediska PBŘ  bude objekt řešen dle ČSN 730834  jako změna stavby skupiny II.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Pro následné stanovení stupňů PB je využíván čl. 5.3.1 ČSN 730834.</w:t>
      </w:r>
    </w:p>
    <w:p>
      <w:pPr>
        <w:pStyle w:val="Normal"/>
        <w:bidi w:val="0"/>
        <w:jc w:val="left"/>
        <w:rPr>
          <w:rStyle w:val="InternetLink"/>
          <w:rFonts w:cs="Arial"/>
          <w:b w:val="false"/>
          <w:b w:val="false"/>
          <w:bCs w:val="false"/>
          <w:color w:val="00000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Style w:val="InternetLink"/>
          <w:rFonts w:cs="Arial"/>
          <w:color w:val="000000"/>
          <w:u w:val="singl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cs="Arial" w:ascii="Arial" w:hAnsi="Arial"/>
          <w:b/>
          <w:bCs/>
          <w:color w:val="000000"/>
          <w:sz w:val="20"/>
          <w:szCs w:val="20"/>
          <w:u w:val="single"/>
        </w:rPr>
        <w:t>B 1.1. Dispoziční řešení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eastAsia="ArialMT" w:cs="ArialMT" w:ascii="ArialMT" w:hAnsi="ArialMT"/>
          <w:b w:val="false"/>
          <w:bCs w:val="false"/>
          <w:color w:val="000000"/>
          <w:sz w:val="20"/>
          <w:szCs w:val="20"/>
          <w:u w:val="none"/>
        </w:rPr>
        <w:t>Stavba je užívána jako administrativní budova, účel užívání stavby se navrženými úpravami nemění.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eastAsia="ArialMT" w:cs="ArialMT" w:ascii="ArialMT" w:hAnsi="ArialMT"/>
          <w:b w:val="false"/>
          <w:bCs w:val="false"/>
          <w:color w:val="000000"/>
          <w:sz w:val="20"/>
          <w:szCs w:val="20"/>
          <w:u w:val="none"/>
        </w:rPr>
        <w:t>Do suterénu se namísto málo využívaných skladových prostor navrhuje umístění archivu MČ Praha 5.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S tím souvisí umístění technologie větrání a výtahu nové hygienické zázemí a drobné dispoziční změny.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b/>
          <w:b/>
          <w:bCs/>
          <w:sz w:val="20"/>
          <w:szCs w:val="20"/>
        </w:rPr>
      </w:pPr>
      <w:r>
        <w:rPr>
          <w:rFonts w:eastAsia="ArialMT" w:cs="ArialMT" w:ascii="ArialMT" w:hAnsi="ArialMT"/>
          <w:b/>
          <w:bCs/>
          <w:sz w:val="20"/>
          <w:szCs w:val="20"/>
        </w:rPr>
      </w:r>
    </w:p>
    <w:p>
      <w:pPr>
        <w:pStyle w:val="Normal"/>
        <w:autoSpaceDE w:val="false"/>
        <w:bidi w:val="0"/>
        <w:jc w:val="left"/>
        <w:rPr/>
      </w:pPr>
      <w:r>
        <w:rPr>
          <w:rFonts w:eastAsia="ArialMT" w:cs="ArialMT" w:ascii="ArialMT" w:hAnsi="ArialMT"/>
          <w:b/>
          <w:bCs/>
          <w:sz w:val="20"/>
          <w:szCs w:val="20"/>
        </w:rPr>
        <w:t xml:space="preserve">Požadovaný dieselgenerátor jako záložní zdroj elektrické energie pro sousední objekt </w:t>
      </w:r>
      <w:r>
        <w:rPr>
          <w:rStyle w:val="InternetLink"/>
          <w:rFonts w:eastAsia="ArialMT" w:cs="ArialMT" w:ascii="ArialMT" w:hAnsi="ArialMT"/>
          <w:b/>
          <w:bCs/>
          <w:color w:val="000000"/>
          <w:sz w:val="20"/>
          <w:szCs w:val="20"/>
          <w:u w:val="none"/>
        </w:rPr>
        <w:t xml:space="preserve">Štefánikova 19 (úřad městské části Praha 5) pro případ neočekávatelných událostí, nejedná se o požárně  bezpečnostní  zařízení bude umístěn na dvoře  objektu. Jedná se o výrobek. </w:t>
      </w:r>
    </w:p>
    <w:p>
      <w:pPr>
        <w:pStyle w:val="Normal"/>
        <w:bidi w:val="0"/>
        <w:jc w:val="left"/>
        <w:rPr>
          <w:rStyle w:val="InternetLink"/>
          <w:rFonts w:ascii="ArialMT" w:hAnsi="ArialMT" w:eastAsia="ArialMT" w:cs="Arial"/>
          <w:b/>
          <w:b/>
          <w:bCs/>
          <w:color w:val="000000"/>
          <w:u w:val="singl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Style w:val="InternetLink"/>
          <w:rFonts w:eastAsia="ArialMT" w:cs="ArialMT" w:ascii="ArialMT" w:hAnsi="ArialMT"/>
          <w:b w:val="false"/>
          <w:bCs w:val="false"/>
          <w:color w:val="000000"/>
          <w:sz w:val="20"/>
          <w:szCs w:val="20"/>
          <w:u w:val="none"/>
        </w:rPr>
        <w:t xml:space="preserve">Celkové provozní řešení budovy zůstává stávající. Do nového archivu je navíc zřízen nový přístup pomocí </w:t>
      </w:r>
      <w:r>
        <w:rPr>
          <w:rFonts w:eastAsia="ArialMT" w:cs="ArialMT" w:ascii="ArialMT" w:hAnsi="ArialMT"/>
          <w:b w:val="false"/>
          <w:bCs w:val="false"/>
          <w:sz w:val="20"/>
          <w:szCs w:val="20"/>
          <w:u w:val="none"/>
        </w:rPr>
        <w:t>osobonákladního výtahu ze dvora při jižní straně budovy.</w:t>
      </w:r>
    </w:p>
    <w:p>
      <w:pPr>
        <w:pStyle w:val="Normal"/>
        <w:bidi w:val="0"/>
        <w:jc w:val="left"/>
        <w:rPr>
          <w:rStyle w:val="InternetLink"/>
          <w:rFonts w:cs="Arial"/>
          <w:b w:val="false"/>
          <w:b w:val="false"/>
          <w:bCs w:val="false"/>
          <w:color w:val="00000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cs="Arial" w:ascii="Arial" w:hAnsi="Arial"/>
          <w:b/>
          <w:bCs/>
          <w:color w:val="000000"/>
          <w:sz w:val="20"/>
          <w:szCs w:val="20"/>
          <w:u w:val="single"/>
        </w:rPr>
        <w:t>Konstrukční řešení</w:t>
      </w:r>
    </w:p>
    <w:p>
      <w:pPr>
        <w:pStyle w:val="Normal"/>
        <w:bidi w:val="0"/>
        <w:jc w:val="left"/>
        <w:rPr>
          <w:rStyle w:val="InternetLink"/>
          <w:rFonts w:cs="Arial"/>
          <w:color w:val="000000"/>
          <w:u w:val="singl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Style w:val="InternetLink"/>
          <w:rFonts w:eastAsia="ArialMT" w:cs="ArialMT" w:ascii="ArialMT" w:hAnsi="ArialMT"/>
          <w:b/>
          <w:bCs/>
          <w:color w:val="000000"/>
          <w:sz w:val="20"/>
          <w:szCs w:val="20"/>
          <w:u w:val="single"/>
        </w:rPr>
        <w:t xml:space="preserve">Budou provedeny bourací a demontážní práce </w:t>
      </w:r>
      <w:r>
        <w:rPr>
          <w:rStyle w:val="InternetLink"/>
          <w:rFonts w:eastAsia="ArialMT" w:cs="ArialMT" w:ascii="ArialMT" w:hAnsi="ArialMT"/>
          <w:b w:val="false"/>
          <w:bCs w:val="false"/>
          <w:color w:val="000000"/>
          <w:sz w:val="20"/>
          <w:szCs w:val="20"/>
          <w:u w:val="single"/>
        </w:rPr>
        <w:t>v rozsahu dle výkresové dokumentace - viz stavební část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V 1.NP bude odstraněna stávající vzduchotechnická jednotka a nahrazena novou.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Bude vybourána stropní konstrukce pod 1.NP v rozsahu podlahy m.č. 110. Dále bude v podlaze 1.PP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vybourán otvor pro výtahovou šachtu, vybourán parapet m.č. 110 na jižní fasádě. část podlahy na terénu ve</w:t>
      </w:r>
    </w:p>
    <w:p>
      <w:pPr>
        <w:pStyle w:val="Normal"/>
        <w:autoSpaceDE w:val="false"/>
        <w:bidi w:val="0"/>
        <w:jc w:val="left"/>
        <w:rPr>
          <w:rFonts w:ascii="ArialMT" w:hAnsi="ArialMT" w:eastAsia="ArialMT" w:cs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2.PP, většina příček v dotčené části 1.PP a další drobnější bourací práce. Veškerá bourání stropních a</w:t>
      </w:r>
    </w:p>
    <w:p>
      <w:pPr>
        <w:pStyle w:val="Normal"/>
        <w:autoSpaceDE w:val="false"/>
        <w:bidi w:val="0"/>
        <w:jc w:val="left"/>
        <w:rPr>
          <w:rFonts w:ascii="ArialMT" w:hAnsi="ArialMT"/>
          <w:sz w:val="20"/>
          <w:szCs w:val="20"/>
        </w:rPr>
      </w:pPr>
      <w:r>
        <w:rPr>
          <w:rFonts w:eastAsia="ArialMT" w:cs="ArialMT" w:ascii="ArialMT" w:hAnsi="ArialMT"/>
          <w:sz w:val="20"/>
          <w:szCs w:val="20"/>
        </w:rPr>
        <w:t>jiných nosných konstrukcí budou staticky zajišt</w:t>
      </w:r>
      <w:r>
        <w:rPr>
          <w:rFonts w:eastAsia="ArialMT" w:cs="ArialMT" w:ascii="ArialMT" w:hAnsi="ArialMT"/>
          <w:sz w:val="20"/>
          <w:szCs w:val="20"/>
          <w:u w:val="none"/>
        </w:rPr>
        <w:t>ěna</w:t>
      </w:r>
      <w:r>
        <w:rPr>
          <w:rStyle w:val="InternetLink"/>
          <w:rFonts w:eastAsia="ArialMT" w:cs="Arial" w:ascii="Arial" w:hAnsi="Arial"/>
          <w:b/>
          <w:bCs/>
          <w:color w:val="000000"/>
          <w:sz w:val="20"/>
          <w:szCs w:val="20"/>
          <w:u w:val="none"/>
        </w:rPr>
        <w:t xml:space="preserve"> , budou dodržovány  bezpečnostní  předpisy. </w:t>
      </w:r>
    </w:p>
    <w:p>
      <w:pPr>
        <w:pStyle w:val="Normal"/>
        <w:bidi w:val="0"/>
        <w:jc w:val="left"/>
        <w:rPr>
          <w:rStyle w:val="InternetLink"/>
          <w:rFonts w:cs="Arial"/>
          <w:color w:val="000000"/>
          <w:u w:val="singl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0"/>
          <w:szCs w:val="20"/>
          <w:u w:val="none"/>
        </w:rPr>
      </w:pPr>
      <w:r>
        <w:rPr>
          <w:rFonts w:ascii="Arial" w:hAnsi="Arial"/>
          <w:b w:val="false"/>
          <w:bCs w:val="false"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  <w:t xml:space="preserve">B 1.2.1 – Svislé  konstrukce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  <w:t>a/ stávající nosné konstrukce objektu  se  nemění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  <w:t>b/ nové svislé konstrukce :</w:t>
      </w:r>
    </w:p>
    <w:p>
      <w:pPr>
        <w:pStyle w:val="Normal"/>
        <w:numPr>
          <w:ilvl w:val="0"/>
          <w:numId w:val="5"/>
        </w:numPr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  <w:t>obvodová konstrukce  výtahové  šachty  j</w:t>
      </w:r>
      <w:r>
        <w:rPr>
          <w:rFonts w:ascii="Arial" w:hAnsi="Arial"/>
          <w:b w:val="false"/>
          <w:bCs w:val="false"/>
          <w:sz w:val="20"/>
          <w:szCs w:val="20"/>
          <w:u w:val="none"/>
        </w:rPr>
        <w:t>e železobetonová, tl. 200 mm,</w:t>
      </w:r>
      <w:r>
        <w:rPr>
          <w:rFonts w:cs="Arial" w:ascii="Arial" w:hAnsi="Arial"/>
          <w:b w:val="false"/>
          <w:bCs w:val="false"/>
          <w:sz w:val="20"/>
          <w:szCs w:val="20"/>
          <w:u w:val="none"/>
          <w:lang w:val="en"/>
        </w:rPr>
        <w:t xml:space="preserve">osové krytí výztuže  min. 25 mm, požární odolnost REI 90  DP1, požadavek  min. REI 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Arial" w:hAnsi="Arial"/>
          <w:b w:val="false"/>
          <w:b w:val="false"/>
          <w:bCs w:val="false"/>
          <w:sz w:val="20"/>
          <w:szCs w:val="20"/>
          <w:u w:val="none"/>
        </w:rPr>
      </w:pPr>
      <w:r>
        <w:rPr>
          <w:rFonts w:ascii="Arial" w:hAnsi="Arial"/>
          <w:b w:val="false"/>
          <w:bCs w:val="false"/>
          <w:sz w:val="20"/>
          <w:szCs w:val="20"/>
          <w:u w:val="none"/>
        </w:rPr>
      </w:r>
    </w:p>
    <w:p>
      <w:pPr>
        <w:pStyle w:val="Normal"/>
        <w:numPr>
          <w:ilvl w:val="0"/>
          <w:numId w:val="5"/>
        </w:numPr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  <w:t xml:space="preserve">podpůrné příčky ve 2.PP </w:t>
      </w:r>
      <w:r>
        <w:rPr>
          <w:rFonts w:ascii="Arial" w:hAnsi="Arial"/>
          <w:b w:val="false"/>
          <w:bCs w:val="false"/>
          <w:sz w:val="20"/>
          <w:szCs w:val="20"/>
          <w:u w:val="none"/>
        </w:rPr>
        <w:t>tl. 200 mm musí splňovat min. R a RE 30 DP1</w:t>
      </w:r>
    </w:p>
    <w:p>
      <w:pPr>
        <w:pStyle w:val="Normal"/>
        <w:numPr>
          <w:ilvl w:val="0"/>
          <w:numId w:val="5"/>
        </w:numPr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al"/>
        <w:numPr>
          <w:ilvl w:val="0"/>
          <w:numId w:val="5"/>
        </w:numPr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  <w:t>požárně dělící  příčky  v 1.PP</w:t>
      </w:r>
      <w:r>
        <w:rPr>
          <w:rFonts w:ascii="Arial" w:hAnsi="Arial"/>
          <w:b w:val="false"/>
          <w:bCs w:val="false"/>
          <w:sz w:val="20"/>
          <w:szCs w:val="20"/>
          <w:u w:val="none"/>
        </w:rPr>
        <w:t xml:space="preserve"> tl.240 mm , skutečná požární odolnost REI ….DP1, požadovaná  REI DP1, navrhovaná  konstrukce  vyhovuje.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Arial" w:hAnsi="Arial"/>
          <w:b w:val="false"/>
          <w:b w:val="false"/>
          <w:bCs w:val="false"/>
          <w:sz w:val="20"/>
          <w:szCs w:val="20"/>
          <w:u w:val="none"/>
        </w:rPr>
      </w:pPr>
      <w:r>
        <w:rPr>
          <w:rFonts w:ascii="Arial" w:hAnsi="Arial"/>
          <w:b w:val="false"/>
          <w:bCs w:val="false"/>
          <w:sz w:val="20"/>
          <w:szCs w:val="20"/>
          <w:u w:val="none"/>
        </w:rPr>
      </w:r>
    </w:p>
    <w:p>
      <w:pPr>
        <w:pStyle w:val="Normal"/>
        <w:numPr>
          <w:ilvl w:val="0"/>
          <w:numId w:val="5"/>
        </w:numPr>
        <w:bidi w:val="0"/>
        <w:jc w:val="left"/>
        <w:rPr>
          <w:rFonts w:ascii="Arial" w:hAnsi="Arial"/>
          <w:b/>
          <w:b/>
          <w:bCs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  <w:t>požárně dělící příčky v 1.NP</w:t>
      </w:r>
      <w:r>
        <w:rPr>
          <w:rFonts w:ascii="Arial" w:hAnsi="Arial"/>
          <w:b w:val="false"/>
          <w:bCs w:val="false"/>
          <w:sz w:val="20"/>
          <w:szCs w:val="20"/>
          <w:u w:val="none"/>
        </w:rPr>
        <w:t xml:space="preserve"> vymezující m.č. 110 jsou stávající, tlusté ...s REI 180 DP1, což  vyhovuje  až do VII. stupně  P.B.  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0"/>
          <w:szCs w:val="20"/>
          <w:u w:val="none"/>
        </w:rPr>
      </w:pPr>
      <w:r>
        <w:rPr>
          <w:rFonts w:ascii="Arial" w:hAnsi="Arial"/>
          <w:b w:val="false"/>
          <w:bCs w:val="false"/>
          <w:sz w:val="20"/>
          <w:szCs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Arial" w:hAnsi="Arial"/>
          <w:b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>B 1.2.2 – Vodorovné nosné konstrukce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none"/>
        </w:rPr>
      </w:pPr>
      <w:r>
        <w:rPr>
          <w:rFonts w:cs="Arial" w:ascii="Arial" w:hAnsi="Arial"/>
          <w:b/>
          <w:bCs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none"/>
        </w:rPr>
      </w:pPr>
      <w:r>
        <w:rPr>
          <w:rFonts w:cs="Arial" w:ascii="Arial" w:hAnsi="Arial"/>
          <w:b/>
          <w:bCs/>
          <w:sz w:val="20"/>
          <w:szCs w:val="20"/>
          <w:u w:val="none"/>
        </w:rPr>
        <w:t>Stropy nad 2PP i 1.PP jsou stávající, žebírkové s  min. REI 45 DP1  viz čl. 5.5.7 ČSN 730834.</w:t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  <w:u w:val="none"/>
          <w:lang w:val="en"/>
        </w:rPr>
        <w:t>Ve 2.PP</w:t>
      </w:r>
      <w:r>
        <w:rPr>
          <w:rFonts w:cs="Arial" w:ascii="Arial" w:hAnsi="Arial"/>
          <w:b w:val="false"/>
          <w:bCs w:val="false"/>
          <w:sz w:val="20"/>
          <w:szCs w:val="20"/>
          <w:u w:val="none"/>
          <w:lang w:val="en"/>
        </w:rPr>
        <w:t xml:space="preserve">  je prostor dotčený stavbou prostorem bez požárního rizika, na stávající nosné konstrukce  nejsou stanoveny žádné požadavky  z hlediska PBŘ.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none"/>
          <w:lang w:val="en"/>
        </w:rPr>
      </w:pPr>
      <w:r>
        <w:rPr>
          <w:rFonts w:cs="Arial" w:ascii="Arial" w:hAnsi="Arial"/>
          <w:b/>
          <w:bCs/>
          <w:sz w:val="20"/>
          <w:szCs w:val="20"/>
          <w:u w:val="none"/>
          <w:lang w:val="en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none"/>
          <w:lang w:val="en"/>
        </w:rPr>
      </w:pPr>
      <w:r>
        <w:rPr>
          <w:rFonts w:cs="Arial" w:ascii="Arial" w:hAnsi="Arial"/>
          <w:b/>
          <w:bCs/>
          <w:sz w:val="20"/>
          <w:szCs w:val="20"/>
          <w:u w:val="none"/>
          <w:lang w:val="en"/>
        </w:rPr>
        <w:t>V 1.PP, v prostoru archivu,  bude stávající žebírkový železobetonový strop opatřen obkladem deskami ODEXAL  na požadovanou  požární odolnost, což  pro VII. stupeň P.B  je REI 180  DP1.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none"/>
          <w:lang w:val="en"/>
        </w:rPr>
      </w:pPr>
      <w:r>
        <w:rPr>
          <w:rFonts w:cs="Arial" w:ascii="Arial" w:hAnsi="Arial"/>
          <w:b/>
          <w:bCs/>
          <w:sz w:val="20"/>
          <w:szCs w:val="20"/>
          <w:u w:val="none"/>
          <w:lang w:val="en"/>
        </w:rPr>
        <w:t xml:space="preserve">Obklad bude provádět  odborná  firma, která  dodá  i  certifikát o  provedení práce a  požární  odolnosti. 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color w:val="000000"/>
          <w:sz w:val="22"/>
          <w:szCs w:val="22"/>
          <w:u w:val="single"/>
        </w:rPr>
        <w:t>C/ rozd</w:t>
      </w:r>
      <w:r>
        <w:rPr>
          <w:rFonts w:eastAsia="MS Mincho;ＭＳ 明朝" w:cs="Arial" w:ascii="Arial" w:hAnsi="Arial"/>
          <w:b/>
          <w:bCs/>
          <w:color w:val="000000"/>
          <w:sz w:val="22"/>
          <w:szCs w:val="22"/>
          <w:u w:val="single"/>
        </w:rPr>
        <w:t>ělení</w:t>
      </w:r>
      <w:r>
        <w:rPr>
          <w:rFonts w:cs="Arial" w:ascii="Arial" w:hAnsi="Arial"/>
          <w:b/>
          <w:bCs/>
          <w:color w:val="000000"/>
          <w:sz w:val="22"/>
          <w:szCs w:val="22"/>
          <w:u w:val="single"/>
        </w:rPr>
        <w:t xml:space="preserve"> stavby do po</w:t>
      </w:r>
      <w:r>
        <w:rPr>
          <w:rFonts w:eastAsia="MS Mincho;ＭＳ 明朝" w:cs="Arial" w:ascii="Arial" w:hAnsi="Arial"/>
          <w:b/>
          <w:bCs/>
          <w:color w:val="000000"/>
          <w:sz w:val="22"/>
          <w:szCs w:val="22"/>
          <w:u w:val="single"/>
        </w:rPr>
        <w:t>žárních</w:t>
      </w:r>
      <w:r>
        <w:rPr>
          <w:rFonts w:cs="Arial" w:ascii="Arial" w:hAnsi="Arial"/>
          <w:b/>
          <w:bCs/>
          <w:color w:val="000000"/>
          <w:sz w:val="22"/>
          <w:szCs w:val="22"/>
          <w:u w:val="single"/>
        </w:rPr>
        <w:t xml:space="preserve"> úseků</w:t>
      </w:r>
      <w:r>
        <w:rPr>
          <w:rFonts w:ascii="Arial" w:hAnsi="Arial"/>
          <w:b/>
          <w:bCs/>
          <w:color w:val="000000"/>
          <w:sz w:val="22"/>
          <w:szCs w:val="22"/>
          <w:u w:val="single"/>
        </w:rPr>
        <w:t xml:space="preserve"> + D/ stanovení požárního rizika, stanovení stupně požární  bezpečnost a posouzení   velikosti  požárních  úseků</w:t>
      </w:r>
    </w:p>
    <w:p>
      <w:pPr>
        <w:pStyle w:val="Normal"/>
        <w:tabs>
          <w:tab w:val="clear" w:pos="709"/>
          <w:tab w:val="left" w:pos="5412" w:leader="none"/>
        </w:tabs>
        <w:bidi w:val="0"/>
        <w:spacing w:before="120" w:after="0"/>
        <w:jc w:val="both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 xml:space="preserve">Řešení dle vyhlášky 246/ 2001 Sb, § 41, odst. 2, písm.c +d </w:t>
      </w:r>
    </w:p>
    <w:p>
      <w:pPr>
        <w:pStyle w:val="Normal"/>
        <w:bidi w:val="0"/>
        <w:spacing w:before="0" w:after="0"/>
        <w:jc w:val="both"/>
        <w:rPr>
          <w:rStyle w:val="InternetLink"/>
          <w:rFonts w:ascii="Arial" w:hAnsi="Arial" w:cs="Arial"/>
          <w:b/>
          <w:b/>
          <w:bCs/>
          <w:color w:val="000000"/>
          <w:sz w:val="20"/>
          <w:szCs w:val="20"/>
          <w:u w:val="none"/>
        </w:rPr>
      </w:pPr>
      <w:r>
        <w:rPr>
          <w:rFonts w:ascii="Arial" w:hAnsi="Arial"/>
          <w:b/>
          <w:bCs/>
          <w:sz w:val="20"/>
          <w:szCs w:val="20"/>
          <w:u w:val="none"/>
        </w:rPr>
      </w:r>
    </w:p>
    <w:p>
      <w:pPr>
        <w:pStyle w:val="Normln"/>
        <w:bidi w:val="0"/>
        <w:spacing w:before="120" w:after="0"/>
        <w:jc w:val="both"/>
        <w:rPr>
          <w:b/>
          <w:b/>
          <w:bCs/>
          <w:color w:val="0000FF"/>
          <w:sz w:val="20"/>
          <w:szCs w:val="20"/>
          <w:u w:val="single"/>
        </w:rPr>
      </w:pPr>
      <w:r>
        <w:rPr>
          <w:b/>
          <w:bCs/>
          <w:color w:val="0000FF"/>
          <w:sz w:val="20"/>
          <w:szCs w:val="20"/>
          <w:u w:val="single"/>
        </w:rPr>
        <w:t xml:space="preserve">2. podzemní podlaží </w:t>
      </w:r>
      <w:r>
        <w:rPr>
          <w:b w:val="false"/>
          <w:bCs w:val="false"/>
          <w:color w:val="0000FF"/>
          <w:sz w:val="20"/>
          <w:szCs w:val="20"/>
          <w:u w:val="single"/>
        </w:rPr>
        <w:t>( konstrukce DP1, h = 30 m)</w:t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none"/>
        </w:rPr>
      </w:pPr>
      <w:r>
        <w:rPr>
          <w:b/>
          <w:bCs/>
          <w:color w:val="0000FF"/>
          <w:sz w:val="20"/>
          <w:szCs w:val="20"/>
          <w:u w:val="none"/>
        </w:rPr>
        <w:t xml:space="preserve">P 02.1 . - prostor bez požárního rizika </w:t>
      </w:r>
      <w:r>
        <w:rPr>
          <w:b/>
          <w:bCs/>
          <w:color w:val="000000"/>
          <w:sz w:val="20"/>
          <w:szCs w:val="20"/>
          <w:u w:val="none"/>
        </w:rPr>
        <w:t>…..........................................................................I. stupeň P.B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                                                                                                                                                                Zde jsou nově  vystaveny  podpěrné stěny  pod  technologické zařízení archivu, podpírají  regály, v podstatě  se  jedná  o nosnou konstrukci s požadavkem min. R , REI 30  DP1, což je splněno  viz  výše. </w:t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none"/>
        </w:rPr>
      </w:pPr>
      <w:r>
        <w:rPr>
          <w:b w:val="false"/>
          <w:bCs w:val="false"/>
          <w:color w:val="000000"/>
          <w:sz w:val="20"/>
          <w:szCs w:val="20"/>
          <w:u w:val="none"/>
        </w:rPr>
        <w:t xml:space="preserve">Dveře do tohoto  prostoru jsou navrženy typu min. </w:t>
      </w:r>
      <w:r>
        <w:rPr>
          <w:b/>
          <w:bCs/>
          <w:color w:val="000000"/>
          <w:sz w:val="20"/>
          <w:szCs w:val="20"/>
          <w:u w:val="none"/>
        </w:rPr>
        <w:t>EW 30 DP1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, protože  oddělují  prostor  stávajících  </w:t>
      </w:r>
      <w:r>
        <w:rPr>
          <w:b w:val="false"/>
          <w:bCs w:val="false"/>
          <w:color w:val="auto"/>
          <w:sz w:val="20"/>
          <w:szCs w:val="20"/>
          <w:u w:val="none"/>
        </w:rPr>
        <w:t>sklepů. Předpokládané  požární zatížení sklepů  je p</w:t>
      </w:r>
      <w:r>
        <w:rPr>
          <w:b w:val="false"/>
          <w:bCs w:val="false"/>
          <w:color w:val="auto"/>
          <w:sz w:val="20"/>
          <w:szCs w:val="20"/>
          <w:u w:val="none"/>
          <w:vertAlign w:val="subscript"/>
        </w:rPr>
        <w:t>v</w:t>
      </w:r>
      <w:r>
        <w:rPr>
          <w:b w:val="false"/>
          <w:bCs w:val="false"/>
          <w:color w:val="auto"/>
          <w:position w:val="0"/>
          <w:sz w:val="20"/>
          <w:sz w:val="20"/>
          <w:szCs w:val="20"/>
          <w:u w:val="none"/>
          <w:vertAlign w:val="baseline"/>
        </w:rPr>
        <w:t xml:space="preserve"> = 45  kg/m</w:t>
      </w:r>
      <w:r>
        <w:rPr>
          <w:b w:val="false"/>
          <w:bCs w:val="false"/>
          <w:color w:val="auto"/>
          <w:sz w:val="20"/>
          <w:szCs w:val="20"/>
          <w:u w:val="none"/>
          <w:vertAlign w:val="superscript"/>
        </w:rPr>
        <w:t>2</w:t>
      </w:r>
      <w:r>
        <w:rPr>
          <w:b w:val="false"/>
          <w:bCs w:val="false"/>
          <w:color w:val="auto"/>
          <w:position w:val="0"/>
          <w:sz w:val="20"/>
          <w:sz w:val="20"/>
          <w:szCs w:val="20"/>
          <w:u w:val="none"/>
          <w:vertAlign w:val="baseline"/>
        </w:rPr>
        <w:t xml:space="preserve"> a při dané požární  výšce  jsou zařazeny do IV. stupně  P.B. dle čl.</w:t>
      </w:r>
      <w:r>
        <w:rPr>
          <w:rFonts w:cs="Arial"/>
          <w:b w:val="false"/>
          <w:bCs w:val="false"/>
          <w:color w:val="auto"/>
          <w:position w:val="0"/>
          <w:sz w:val="20"/>
          <w:sz w:val="20"/>
          <w:szCs w:val="20"/>
          <w:u w:val="none"/>
          <w:vertAlign w:val="baseline"/>
        </w:rPr>
        <w:t>čl.5.3.1a lze snížit na III. stupeň P.B</w:t>
      </w:r>
      <w:r>
        <w:rPr>
          <w:b w:val="false"/>
          <w:bCs w:val="false"/>
          <w:color w:val="auto"/>
          <w:position w:val="0"/>
          <w:sz w:val="20"/>
          <w:sz w:val="20"/>
          <w:szCs w:val="20"/>
          <w:u w:val="none"/>
          <w:vertAlign w:val="baseline"/>
        </w:rPr>
        <w:t xml:space="preserve"> .</w:t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auto"/>
          <w:sz w:val="20"/>
          <w:szCs w:val="20"/>
          <w:u w:val="none"/>
        </w:rPr>
      </w:pPr>
      <w:r>
        <w:rPr>
          <w:b/>
          <w:bCs/>
          <w:color w:val="auto"/>
          <w:sz w:val="20"/>
          <w:szCs w:val="20"/>
          <w:u w:val="none"/>
        </w:rPr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FF"/>
          <w:sz w:val="20"/>
          <w:szCs w:val="20"/>
          <w:u w:val="single"/>
        </w:rPr>
      </w:pPr>
      <w:r>
        <w:rPr>
          <w:b/>
          <w:bCs/>
          <w:color w:val="0000FF"/>
          <w:sz w:val="20"/>
          <w:szCs w:val="20"/>
          <w:u w:val="single"/>
        </w:rPr>
        <w:t>1. podzemní podlaží</w:t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none"/>
        </w:rPr>
      </w:pPr>
      <w:r>
        <w:rPr>
          <w:b/>
          <w:bCs/>
          <w:color w:val="0000FF"/>
          <w:sz w:val="20"/>
          <w:szCs w:val="20"/>
          <w:u w:val="none"/>
        </w:rPr>
        <w:t>P 01.1 – sklad odpadů,</w:t>
      </w:r>
      <w:r>
        <w:rPr>
          <w:b/>
          <w:bCs/>
          <w:color w:val="000000"/>
          <w:sz w:val="20"/>
          <w:szCs w:val="20"/>
          <w:u w:val="none"/>
        </w:rPr>
        <w:t xml:space="preserve"> </w:t>
      </w:r>
      <w:r>
        <w:rPr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>m.č. -110, S = 28,8 m</w:t>
      </w:r>
      <w:r>
        <w:rPr>
          <w:b w:val="false"/>
          <w:bCs w:val="false"/>
          <w:color w:val="000000"/>
          <w:sz w:val="20"/>
          <w:szCs w:val="20"/>
          <w:u w:val="none"/>
          <w:vertAlign w:val="superscript"/>
        </w:rPr>
        <w:t>2.</w:t>
      </w:r>
      <w:r>
        <w:rPr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>...</w:t>
      </w:r>
      <w:r>
        <w:rPr>
          <w:b/>
          <w:bCs/>
          <w:color w:val="000000"/>
          <w:position w:val="0"/>
          <w:sz w:val="20"/>
          <w:sz w:val="20"/>
          <w:szCs w:val="20"/>
          <w:u w:val="none"/>
          <w:vertAlign w:val="baseline"/>
        </w:rPr>
        <w:t>.............................................................III.</w:t>
      </w:r>
      <w:r>
        <w:rPr>
          <w:b/>
          <w:bCs/>
          <w:color w:val="000000"/>
          <w:sz w:val="20"/>
          <w:szCs w:val="20"/>
          <w:u w:val="none"/>
          <w:vertAlign w:val="superscript"/>
        </w:rPr>
        <w:t xml:space="preserve"> </w:t>
      </w:r>
      <w:r>
        <w:rPr>
          <w:b/>
          <w:bCs/>
          <w:color w:val="000000"/>
          <w:sz w:val="20"/>
          <w:szCs w:val="20"/>
          <w:u w:val="none"/>
        </w:rPr>
        <w:t xml:space="preserve">stupeň P.B                         </w:t>
      </w:r>
      <w:r>
        <w:rPr>
          <w:rFonts w:cs="Arial"/>
          <w:b w:val="false"/>
          <w:bCs w:val="false"/>
          <w:color w:val="000000"/>
          <w:sz w:val="20"/>
          <w:szCs w:val="20"/>
          <w:u w:val="none"/>
        </w:rPr>
        <w:t>a = 1,1; b = 0,011/ 0,0086 = 1,28</w:t>
      </w:r>
    </w:p>
    <w:p>
      <w:pPr>
        <w:pStyle w:val="Normal"/>
        <w:bidi w:val="0"/>
        <w:spacing w:before="120" w:after="0"/>
        <w:jc w:val="left"/>
        <w:rPr>
          <w:b w:val="false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p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bscript"/>
        </w:rPr>
        <w:t xml:space="preserve">v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 = ( 60 + 5 ) x 1 x 1,28 x 1 = 83,2 kg/m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perscript"/>
        </w:rPr>
        <w:t xml:space="preserve">2 </w:t>
      </w:r>
      <w:r>
        <w:rPr>
          <w:rFonts w:cs="Arial" w:ascii="Arial" w:hAnsi="Arial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>…V. stupeň P.B, dle čl.5.3.1b lze snížit na III. stupeň P.B</w:t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none"/>
        </w:rPr>
      </w:pPr>
      <w:r>
        <w:rPr>
          <w:b/>
          <w:bCs/>
          <w:color w:val="000000"/>
          <w:sz w:val="20"/>
          <w:szCs w:val="20"/>
          <w:u w:val="none"/>
        </w:rPr>
        <w:t xml:space="preserve">Stávající stropy 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budou obloženy deskami ordexal  na </w:t>
      </w:r>
      <w:r>
        <w:rPr>
          <w:b/>
          <w:bCs/>
          <w:color w:val="000000"/>
          <w:sz w:val="20"/>
          <w:szCs w:val="20"/>
          <w:u w:val="none"/>
        </w:rPr>
        <w:t>REI 60 DP1</w:t>
      </w:r>
      <w:r>
        <w:rPr>
          <w:b w:val="false"/>
          <w:bCs w:val="false"/>
          <w:color w:val="000000"/>
          <w:sz w:val="20"/>
          <w:szCs w:val="20"/>
          <w:u w:val="none"/>
        </w:rPr>
        <w:t>, což  je požadovaná  požární odolnost pro III. stupeň P.B  v podzemních  podlažích, nebo se sondami prokáže , že konstrukce má REI 6O DP1 bez dalších  opatření .</w:t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none"/>
        </w:rPr>
      </w:pPr>
      <w:r>
        <w:rPr>
          <w:b/>
          <w:bCs/>
          <w:color w:val="000000"/>
          <w:sz w:val="20"/>
          <w:szCs w:val="20"/>
          <w:u w:val="none"/>
        </w:rPr>
        <w:t>Dveře do skladu odpadků j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sou navrženy typu </w:t>
      </w:r>
      <w:r>
        <w:rPr>
          <w:b/>
          <w:bCs/>
          <w:color w:val="000000"/>
          <w:sz w:val="20"/>
          <w:szCs w:val="20"/>
          <w:u w:val="none"/>
        </w:rPr>
        <w:t>EW 30 DP1 + C2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 .</w:t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none"/>
        </w:rPr>
      </w:pPr>
      <w:r>
        <w:rPr>
          <w:b/>
          <w:bCs/>
          <w:color w:val="000000"/>
          <w:sz w:val="20"/>
          <w:szCs w:val="20"/>
          <w:u w:val="none"/>
        </w:rPr>
      </w:r>
    </w:p>
    <w:p>
      <w:pPr>
        <w:pStyle w:val="Normln"/>
        <w:tabs>
          <w:tab w:val="clear" w:pos="709"/>
          <w:tab w:val="left" w:pos="5616" w:leader="none"/>
        </w:tabs>
        <w:bidi w:val="0"/>
        <w:spacing w:before="120" w:after="0"/>
        <w:jc w:val="left"/>
        <w:rPr>
          <w:b/>
          <w:b/>
          <w:color w:val="000000"/>
          <w:sz w:val="20"/>
          <w:szCs w:val="20"/>
        </w:rPr>
      </w:pPr>
      <w:r>
        <w:rPr>
          <w:b/>
          <w:bCs/>
          <w:color w:val="0000FF"/>
          <w:sz w:val="20"/>
          <w:szCs w:val="20"/>
          <w:u w:val="none"/>
        </w:rPr>
        <w:t>P 01.2 – archiv,</w:t>
      </w:r>
      <w:r>
        <w:rPr>
          <w:b w:val="false"/>
          <w:bCs w:val="false"/>
          <w:color w:val="0000FF"/>
          <w:sz w:val="20"/>
          <w:szCs w:val="20"/>
          <w:u w:val="none"/>
        </w:rPr>
        <w:t xml:space="preserve"> </w:t>
      </w:r>
      <w:r>
        <w:rPr>
          <w:b w:val="false"/>
          <w:bCs w:val="false"/>
          <w:color w:val="000000"/>
          <w:sz w:val="20"/>
          <w:szCs w:val="20"/>
          <w:u w:val="none"/>
        </w:rPr>
        <w:t>m.č. -114, S = 139,6 m</w:t>
      </w:r>
      <w:r>
        <w:rPr>
          <w:b w:val="false"/>
          <w:bCs w:val="false"/>
          <w:color w:val="000000"/>
          <w:sz w:val="20"/>
          <w:szCs w:val="20"/>
          <w:u w:val="none"/>
          <w:vertAlign w:val="superscript"/>
        </w:rPr>
        <w:t>2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 </w:t>
      </w:r>
      <w:r>
        <w:rPr>
          <w:b/>
          <w:bCs/>
          <w:color w:val="000000"/>
          <w:sz w:val="20"/>
          <w:szCs w:val="20"/>
          <w:u w:val="none"/>
        </w:rPr>
        <w:t xml:space="preserve">  </w:t>
      </w:r>
      <w:r>
        <w:rPr>
          <w:b/>
          <w:bCs/>
          <w:color w:val="000000"/>
          <w:position w:val="0"/>
          <w:sz w:val="20"/>
          <w:sz w:val="20"/>
          <w:szCs w:val="20"/>
          <w:u w:val="none"/>
          <w:vertAlign w:val="baseline"/>
        </w:rPr>
        <w:t>..........................................................................V.</w:t>
      </w:r>
      <w:r>
        <w:rPr>
          <w:b/>
          <w:bCs/>
          <w:color w:val="000000"/>
          <w:sz w:val="20"/>
          <w:szCs w:val="20"/>
          <w:u w:val="none"/>
          <w:vertAlign w:val="superscript"/>
        </w:rPr>
        <w:t xml:space="preserve"> </w:t>
      </w:r>
      <w:r>
        <w:rPr>
          <w:b/>
          <w:bCs/>
          <w:color w:val="000000"/>
          <w:sz w:val="20"/>
          <w:szCs w:val="20"/>
          <w:u w:val="none"/>
        </w:rPr>
        <w:t xml:space="preserve">stupeň P.B                                                                                                                                                                     </w:t>
      </w:r>
      <w:r>
        <w:rPr>
          <w:rFonts w:cs="Arial"/>
          <w:b w:val="false"/>
          <w:bCs w:val="false"/>
          <w:color w:val="000000"/>
          <w:sz w:val="20"/>
          <w:szCs w:val="20"/>
          <w:u w:val="none"/>
        </w:rPr>
        <w:t>a = 0,7; b = 1,7, nehořlavé dveře , na podlaze dlažba</w:t>
      </w:r>
    </w:p>
    <w:p>
      <w:pPr>
        <w:pStyle w:val="Normal"/>
        <w:tabs>
          <w:tab w:val="clear" w:pos="709"/>
          <w:tab w:val="left" w:pos="5616" w:leader="none"/>
        </w:tabs>
        <w:bidi w:val="0"/>
        <w:spacing w:before="120" w:after="0"/>
        <w:jc w:val="left"/>
        <w:rPr>
          <w:b w:val="false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p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bscript"/>
        </w:rPr>
        <w:t xml:space="preserve">v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 = 120  x 0,7 x 1,7 x 1 = 142,8kg/m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perscript"/>
        </w:rPr>
        <w:t xml:space="preserve">2 </w:t>
      </w:r>
      <w:r>
        <w:rPr>
          <w:rFonts w:cs="Arial" w:ascii="Arial" w:hAnsi="Arial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>…VII. stupeň P.B, dle čl.5.3.1b lze snížit na V. stupeň P.B</w:t>
      </w:r>
    </w:p>
    <w:p>
      <w:pPr>
        <w:pStyle w:val="Normln"/>
        <w:tabs>
          <w:tab w:val="clear" w:pos="709"/>
          <w:tab w:val="left" w:pos="5616" w:leader="none"/>
        </w:tabs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none"/>
        </w:rPr>
      </w:pPr>
      <w:r>
        <w:rPr>
          <w:b/>
          <w:bCs/>
          <w:color w:val="000000"/>
          <w:sz w:val="20"/>
          <w:szCs w:val="20"/>
          <w:u w:val="none"/>
        </w:rPr>
        <w:t xml:space="preserve">Stávající stropy 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budou obloženy deskami ordexal  na celkovou </w:t>
      </w:r>
      <w:r>
        <w:rPr>
          <w:b/>
          <w:bCs/>
          <w:color w:val="000000"/>
          <w:sz w:val="20"/>
          <w:szCs w:val="20"/>
          <w:u w:val="none"/>
        </w:rPr>
        <w:t>REI 120 DP1</w:t>
      </w:r>
      <w:r>
        <w:rPr>
          <w:b w:val="false"/>
          <w:bCs w:val="false"/>
          <w:color w:val="000000"/>
          <w:sz w:val="20"/>
          <w:szCs w:val="20"/>
          <w:u w:val="none"/>
        </w:rPr>
        <w:t>, což  je požadovaná  požární odolnost pro V. stupeň P.B  v podzemních  podlažích.</w:t>
      </w:r>
    </w:p>
    <w:p>
      <w:pPr>
        <w:pStyle w:val="Normln"/>
        <w:tabs>
          <w:tab w:val="clear" w:pos="709"/>
          <w:tab w:val="left" w:pos="5616" w:leader="none"/>
        </w:tabs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none"/>
        </w:rPr>
      </w:pPr>
      <w:r>
        <w:rPr>
          <w:b/>
          <w:bCs/>
          <w:color w:val="000000"/>
          <w:sz w:val="20"/>
          <w:szCs w:val="20"/>
          <w:u w:val="none"/>
        </w:rPr>
        <w:t>Dveře do archivu  j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sou navrženy typu </w:t>
      </w:r>
      <w:r>
        <w:rPr>
          <w:b/>
          <w:bCs/>
          <w:color w:val="000000"/>
          <w:sz w:val="20"/>
          <w:szCs w:val="20"/>
          <w:u w:val="none"/>
        </w:rPr>
        <w:t>EW 60 DP1 + C2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 .</w:t>
      </w:r>
    </w:p>
    <w:p>
      <w:pPr>
        <w:pStyle w:val="Normln"/>
        <w:tabs>
          <w:tab w:val="clear" w:pos="709"/>
          <w:tab w:val="left" w:pos="5616" w:leader="none"/>
        </w:tabs>
        <w:bidi w:val="0"/>
        <w:spacing w:before="120" w:after="0"/>
        <w:jc w:val="left"/>
        <w:rPr>
          <w:b/>
          <w:b/>
          <w:bCs/>
          <w:color w:val="0000FF"/>
          <w:sz w:val="20"/>
          <w:szCs w:val="20"/>
          <w:u w:val="none"/>
        </w:rPr>
      </w:pPr>
      <w:r>
        <w:rPr>
          <w:b/>
          <w:bCs/>
          <w:color w:val="0000FF"/>
          <w:sz w:val="20"/>
          <w:szCs w:val="20"/>
          <w:u w:val="none"/>
        </w:rPr>
      </w:r>
    </w:p>
    <w:p>
      <w:pPr>
        <w:pStyle w:val="Normln"/>
        <w:bidi w:val="0"/>
        <w:spacing w:before="120" w:after="0"/>
        <w:jc w:val="left"/>
        <w:rPr>
          <w:b/>
          <w:b/>
          <w:color w:val="000000"/>
          <w:sz w:val="20"/>
          <w:szCs w:val="20"/>
        </w:rPr>
      </w:pPr>
      <w:r>
        <w:rPr>
          <w:b/>
          <w:bCs/>
          <w:color w:val="0000FF"/>
          <w:sz w:val="20"/>
          <w:szCs w:val="20"/>
          <w:u w:val="none"/>
        </w:rPr>
        <w:t>P 01.3 – předsíň před  výtahem a hygienické zázemí</w:t>
      </w:r>
      <w:r>
        <w:rPr>
          <w:b/>
          <w:bCs/>
          <w:color w:val="000000"/>
          <w:sz w:val="20"/>
          <w:szCs w:val="20"/>
          <w:u w:val="none"/>
        </w:rPr>
        <w:t>,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 m.č. -112,-113</w:t>
      </w:r>
      <w:r>
        <w:rPr>
          <w:b/>
          <w:bCs/>
          <w:color w:val="000000"/>
          <w:position w:val="0"/>
          <w:sz w:val="20"/>
          <w:sz w:val="20"/>
          <w:szCs w:val="20"/>
          <w:u w:val="none"/>
          <w:vertAlign w:val="baseline"/>
        </w:rPr>
        <w:t>...........................III.</w:t>
      </w:r>
      <w:r>
        <w:rPr>
          <w:b/>
          <w:bCs/>
          <w:color w:val="000000"/>
          <w:sz w:val="20"/>
          <w:szCs w:val="20"/>
          <w:u w:val="none"/>
          <w:vertAlign w:val="superscript"/>
        </w:rPr>
        <w:t xml:space="preserve"> </w:t>
      </w:r>
      <w:r>
        <w:rPr>
          <w:b/>
          <w:bCs/>
          <w:color w:val="000000"/>
          <w:sz w:val="20"/>
          <w:szCs w:val="20"/>
          <w:u w:val="none"/>
        </w:rPr>
        <w:t xml:space="preserve">stupeň P.B </w:t>
      </w:r>
    </w:p>
    <w:p>
      <w:pPr>
        <w:pStyle w:val="Normln"/>
        <w:bidi w:val="0"/>
        <w:spacing w:before="120" w:after="0"/>
        <w:jc w:val="left"/>
        <w:rPr>
          <w:b w:val="false"/>
          <w:b w:val="false"/>
          <w:sz w:val="20"/>
          <w:szCs w:val="20"/>
        </w:rPr>
      </w:pPr>
      <w:r>
        <w:rPr>
          <w:b w:val="false"/>
          <w:bCs w:val="false"/>
          <w:color w:val="000000"/>
          <w:sz w:val="20"/>
          <w:szCs w:val="20"/>
          <w:u w:val="none"/>
        </w:rPr>
        <w:t>Jedná se o manipulační  prostor  s max. p</w:t>
      </w:r>
      <w:r>
        <w:rPr>
          <w:b w:val="false"/>
          <w:bCs w:val="false"/>
          <w:color w:val="000000"/>
          <w:sz w:val="20"/>
          <w:szCs w:val="20"/>
          <w:u w:val="none"/>
          <w:vertAlign w:val="subscript"/>
        </w:rPr>
        <w:t>v</w:t>
      </w:r>
      <w:r>
        <w:rPr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 xml:space="preserve"> = 40 kg/m</w:t>
      </w:r>
      <w:r>
        <w:rPr>
          <w:b w:val="false"/>
          <w:bCs w:val="false"/>
          <w:color w:val="000000"/>
          <w:sz w:val="20"/>
          <w:szCs w:val="20"/>
          <w:u w:val="none"/>
          <w:vertAlign w:val="superscript"/>
        </w:rPr>
        <w:t>2</w:t>
      </w:r>
      <w:r>
        <w:rPr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 xml:space="preserve">....IV. stupeň P.B, </w:t>
      </w:r>
      <w:r>
        <w:rPr>
          <w:rFonts w:cs="Arial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 xml:space="preserve"> dle čl.5.3.1b lze snížit na III. stupeň P.B</w:t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none"/>
        </w:rPr>
      </w:pPr>
      <w:r>
        <w:rPr>
          <w:rFonts w:cs="Arial"/>
          <w:b/>
          <w:bCs/>
          <w:color w:val="000000"/>
          <w:position w:val="0"/>
          <w:sz w:val="20"/>
          <w:sz w:val="20"/>
          <w:szCs w:val="20"/>
          <w:u w:val="none"/>
          <w:vertAlign w:val="baseline"/>
        </w:rPr>
        <w:t xml:space="preserve">Stávající stropy </w:t>
      </w:r>
      <w:r>
        <w:rPr>
          <w:rFonts w:cs="Arial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 xml:space="preserve">budou obloženy deskami ordexal  na </w:t>
      </w:r>
      <w:r>
        <w:rPr>
          <w:rFonts w:cs="Arial"/>
          <w:b/>
          <w:bCs/>
          <w:color w:val="000000"/>
          <w:position w:val="0"/>
          <w:sz w:val="20"/>
          <w:sz w:val="20"/>
          <w:szCs w:val="20"/>
          <w:u w:val="none"/>
          <w:vertAlign w:val="baseline"/>
        </w:rPr>
        <w:t>REI 60 DP1</w:t>
      </w:r>
      <w:r>
        <w:rPr>
          <w:rFonts w:cs="Arial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>, což  je požadovaná  požární odolnost pro III. stupeň P.B  v podzemních  podlažích, nebo se sondami prokáže , že konstrukce má REI 6O DP1 bez dalších  opatření .</w:t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none"/>
        </w:rPr>
      </w:pPr>
      <w:r>
        <w:rPr>
          <w:b/>
          <w:bCs/>
          <w:color w:val="000000"/>
          <w:sz w:val="20"/>
          <w:szCs w:val="20"/>
          <w:u w:val="none"/>
        </w:rPr>
      </w:r>
    </w:p>
    <w:p>
      <w:pPr>
        <w:pStyle w:val="Normln"/>
        <w:bidi w:val="0"/>
        <w:spacing w:before="120" w:after="0"/>
        <w:jc w:val="left"/>
        <w:rPr/>
      </w:pPr>
      <w:r>
        <w:rPr>
          <w:b/>
          <w:bCs/>
          <w:color w:val="0000FF"/>
          <w:sz w:val="20"/>
          <w:szCs w:val="20"/>
          <w:u w:val="none"/>
        </w:rPr>
        <w:t xml:space="preserve">P 01.4 / N1 – osobo-nákladní výtah </w:t>
      </w:r>
      <w:r>
        <w:rPr>
          <w:b/>
          <w:bCs/>
          <w:sz w:val="20"/>
          <w:szCs w:val="20"/>
          <w:u w:val="none"/>
        </w:rPr>
        <w:t xml:space="preserve"> </w:t>
      </w:r>
      <w:r>
        <w:rPr>
          <w:b w:val="false"/>
          <w:bCs w:val="false"/>
          <w:sz w:val="20"/>
          <w:szCs w:val="20"/>
          <w:u w:val="none"/>
        </w:rPr>
        <w:t>( viz čl. 8.10.2a ČSN 730802)</w:t>
      </w:r>
      <w:r>
        <w:rPr>
          <w:b/>
          <w:bCs/>
          <w:sz w:val="20"/>
          <w:szCs w:val="20"/>
          <w:u w:val="none"/>
        </w:rPr>
        <w:t xml:space="preserve"> .................................III. stupeň P.B                                      </w:t>
      </w:r>
    </w:p>
    <w:p>
      <w:pPr>
        <w:pStyle w:val="TextBody"/>
        <w:tabs>
          <w:tab w:val="clear" w:pos="709"/>
          <w:tab w:val="left" w:pos="9072" w:leader="none"/>
          <w:tab w:val="right" w:pos="9353" w:leader="dot"/>
        </w:tabs>
        <w:bidi w:val="0"/>
        <w:spacing w:before="120" w:after="0"/>
        <w:jc w:val="both"/>
        <w:rPr>
          <w:rFonts w:ascii="Arial" w:hAnsi="Arial" w:cs="Arial"/>
          <w:b/>
          <w:b/>
          <w:bCs/>
          <w:color w:val="000000"/>
          <w:sz w:val="20"/>
          <w:szCs w:val="20"/>
          <w:u w:val="none"/>
        </w:rPr>
      </w:pPr>
      <w:r>
        <w:rPr>
          <w:rFonts w:cs="Arial" w:ascii="Arial" w:hAnsi="Arial"/>
          <w:b/>
          <w:bCs/>
          <w:color w:val="000000"/>
          <w:sz w:val="20"/>
          <w:szCs w:val="20"/>
          <w:u w:val="none"/>
        </w:rPr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FF"/>
          <w:sz w:val="20"/>
          <w:szCs w:val="20"/>
          <w:u w:val="single"/>
        </w:rPr>
      </w:pPr>
      <w:r>
        <w:rPr>
          <w:b/>
          <w:bCs/>
          <w:color w:val="0000FF"/>
          <w:sz w:val="20"/>
          <w:szCs w:val="20"/>
          <w:u w:val="single"/>
        </w:rPr>
        <w:t>1. nadzemní podlaží</w:t>
      </w:r>
    </w:p>
    <w:p>
      <w:pPr>
        <w:pStyle w:val="Normln"/>
        <w:bidi w:val="0"/>
        <w:spacing w:before="120" w:after="0"/>
        <w:jc w:val="left"/>
        <w:rPr>
          <w:b/>
          <w:b/>
          <w:bCs/>
          <w:sz w:val="20"/>
          <w:szCs w:val="20"/>
          <w:u w:val="none"/>
        </w:rPr>
      </w:pPr>
      <w:r>
        <w:rPr>
          <w:b/>
          <w:bCs/>
          <w:color w:val="0000FF"/>
          <w:sz w:val="20"/>
          <w:szCs w:val="20"/>
          <w:u w:val="none"/>
        </w:rPr>
        <w:t xml:space="preserve">N 1.1 – stávající strojovna  VZT, </w:t>
      </w:r>
      <w:r>
        <w:rPr>
          <w:b w:val="false"/>
          <w:bCs w:val="false"/>
          <w:color w:val="0000FF"/>
          <w:sz w:val="20"/>
          <w:szCs w:val="20"/>
          <w:u w:val="none"/>
        </w:rPr>
        <w:t>m.č. 110; S = 16,4m</w:t>
      </w:r>
      <w:r>
        <w:rPr>
          <w:b w:val="false"/>
          <w:bCs w:val="false"/>
          <w:color w:val="0000FF"/>
          <w:sz w:val="20"/>
          <w:szCs w:val="20"/>
          <w:u w:val="none"/>
          <w:vertAlign w:val="superscript"/>
        </w:rPr>
        <w:t>2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 </w:t>
      </w:r>
      <w:r>
        <w:rPr>
          <w:b/>
          <w:bCs/>
          <w:color w:val="000000"/>
          <w:sz w:val="20"/>
          <w:szCs w:val="20"/>
          <w:u w:val="none"/>
        </w:rPr>
        <w:t xml:space="preserve">…...................................................III.stupeň P.B       </w:t>
      </w:r>
    </w:p>
    <w:p>
      <w:pPr>
        <w:pStyle w:val="Normal"/>
        <w:bidi w:val="0"/>
        <w:jc w:val="left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b= 1,03;                                                                                                                                                                                   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p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bscript"/>
        </w:rPr>
        <w:t>v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 = ( 15 + 5 ) x 0,9 x 1,03 x 1 = 18,54 kg/m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perscript"/>
        </w:rPr>
        <w:t>2</w:t>
      </w:r>
    </w:p>
    <w:p>
      <w:pPr>
        <w:pStyle w:val="Normln"/>
        <w:bidi w:val="0"/>
        <w:spacing w:before="120" w:after="0"/>
        <w:jc w:val="both"/>
        <w:rPr>
          <w:b w:val="false"/>
          <w:b w:val="false"/>
          <w:bCs w:val="false"/>
          <w:color w:val="000000"/>
          <w:sz w:val="20"/>
          <w:szCs w:val="20"/>
          <w:u w:val="none"/>
        </w:rPr>
      </w:pPr>
      <w:r>
        <w:rPr>
          <w:b w:val="false"/>
          <w:bCs w:val="false"/>
          <w:color w:val="000000"/>
          <w:sz w:val="20"/>
          <w:szCs w:val="20"/>
          <w:u w:val="none"/>
        </w:rPr>
        <w:t>V rámci této PD  se mění stávajícívynbavení strojovny  za  modernější, z hlediska PBŘ  se jedná  o změnu stavby skupiny I. dle ČSN 730834.</w:t>
      </w:r>
    </w:p>
    <w:p>
      <w:pPr>
        <w:pStyle w:val="Normln"/>
        <w:bidi w:val="0"/>
        <w:spacing w:before="120" w:after="0"/>
        <w:jc w:val="both"/>
        <w:rPr>
          <w:b w:val="false"/>
          <w:b w:val="false"/>
          <w:bCs w:val="false"/>
          <w:color w:val="000000"/>
          <w:sz w:val="20"/>
          <w:szCs w:val="20"/>
          <w:u w:val="none"/>
        </w:rPr>
      </w:pPr>
      <w:r>
        <w:rPr>
          <w:b w:val="false"/>
          <w:bCs w:val="false"/>
          <w:color w:val="000000"/>
          <w:sz w:val="20"/>
          <w:szCs w:val="20"/>
          <w:u w:val="none"/>
        </w:rPr>
        <w:t>Obvodové konstrukce  i dveře stávající.</w:t>
      </w:r>
    </w:p>
    <w:p>
      <w:pPr>
        <w:pStyle w:val="Normln"/>
        <w:bidi w:val="0"/>
        <w:spacing w:before="120" w:after="0"/>
        <w:jc w:val="both"/>
        <w:rPr>
          <w:rFonts w:ascii="Arial" w:hAnsi="Arial" w:cs="Arial"/>
          <w:b/>
          <w:b/>
          <w:bCs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cs="Arial"/>
          <w:b/>
          <w:bCs/>
          <w:position w:val="0"/>
          <w:sz w:val="20"/>
          <w:sz w:val="20"/>
          <w:szCs w:val="20"/>
          <w:u w:val="none"/>
          <w:vertAlign w:val="baseline"/>
        </w:rPr>
      </w:r>
    </w:p>
    <w:p>
      <w:pPr>
        <w:pStyle w:val="Normln"/>
        <w:bidi w:val="0"/>
        <w:spacing w:before="120" w:after="0"/>
        <w:jc w:val="both"/>
        <w:rPr>
          <w:rFonts w:ascii="Arial" w:hAnsi="Arial" w:cs="Arial"/>
          <w:b/>
          <w:b/>
          <w:bCs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cs="Arial"/>
          <w:b/>
          <w:bCs/>
          <w:position w:val="0"/>
          <w:sz w:val="20"/>
          <w:sz w:val="20"/>
          <w:szCs w:val="20"/>
          <w:u w:val="none"/>
          <w:vertAlign w:val="baseline"/>
        </w:rPr>
        <w:t xml:space="preserve">Na parkovišti je umístěn dieselagregát </w:t>
      </w: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>(o rozměrech 2,6 x 1,1 x 1,5 m)</w:t>
      </w:r>
      <w:r>
        <w:rPr>
          <w:rFonts w:cs="Arial"/>
          <w:b/>
          <w:bCs/>
          <w:position w:val="0"/>
          <w:sz w:val="20"/>
          <w:sz w:val="20"/>
          <w:szCs w:val="20"/>
          <w:u w:val="none"/>
          <w:vertAlign w:val="baseline"/>
        </w:rPr>
        <w:t xml:space="preserve"> ve  venkovním provedení s náplní cca 200l.</w:t>
      </w:r>
    </w:p>
    <w:p>
      <w:pPr>
        <w:pStyle w:val="Normln"/>
        <w:bidi w:val="0"/>
        <w:spacing w:before="120" w:after="0"/>
        <w:jc w:val="both"/>
        <w:rPr>
          <w:rFonts w:ascii="Arial" w:hAnsi="Arial" w:cs="Arial"/>
          <w:b w:val="false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>Dle podkladu výrobce  není uvedena  požární odolnost obvodových stěn.</w:t>
      </w:r>
    </w:p>
    <w:p>
      <w:pPr>
        <w:pStyle w:val="Normln"/>
        <w:bidi w:val="0"/>
        <w:spacing w:before="120" w:after="0"/>
        <w:jc w:val="both"/>
        <w:rPr>
          <w:rFonts w:ascii="Arial" w:hAnsi="Arial" w:cs="Arial"/>
          <w:b w:val="false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>Pro DA s náplní 200l je stanoveno požární zatížení p</w:t>
      </w:r>
      <w:r>
        <w:rPr>
          <w:rFonts w:cs="Arial"/>
          <w:b w:val="false"/>
          <w:bCs w:val="false"/>
          <w:sz w:val="20"/>
          <w:szCs w:val="20"/>
          <w:u w:val="none"/>
          <w:vertAlign w:val="subscript"/>
        </w:rPr>
        <w:t>n</w:t>
      </w: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 xml:space="preserve"> = 40kg/m</w:t>
      </w:r>
      <w:r>
        <w:rPr>
          <w:rFonts w:cs="Arial"/>
          <w:b w:val="false"/>
          <w:bCs w:val="false"/>
          <w:sz w:val="20"/>
          <w:szCs w:val="20"/>
          <w:u w:val="none"/>
          <w:vertAlign w:val="superscript"/>
        </w:rPr>
        <w:t>2,</w:t>
      </w: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 xml:space="preserve"> a</w:t>
      </w:r>
      <w:r>
        <w:rPr>
          <w:rFonts w:cs="Arial"/>
          <w:b w:val="false"/>
          <w:bCs w:val="false"/>
          <w:sz w:val="20"/>
          <w:szCs w:val="20"/>
          <w:u w:val="none"/>
          <w:vertAlign w:val="subscript"/>
        </w:rPr>
        <w:t>n</w:t>
      </w: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 xml:space="preserve"> = 0,9 ( pol. 15.6b2, tab. A1 ČSN 730802) </w:t>
      </w:r>
    </w:p>
    <w:p>
      <w:pPr>
        <w:pStyle w:val="Normln"/>
        <w:bidi w:val="0"/>
        <w:spacing w:before="120" w:after="0"/>
        <w:jc w:val="both"/>
        <w:rPr>
          <w:rFonts w:ascii="Arial" w:hAnsi="Arial" w:cs="Arial"/>
          <w:b w:val="false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 xml:space="preserve">p </w:t>
      </w:r>
      <w:r>
        <w:rPr>
          <w:rFonts w:cs="Arial"/>
          <w:b w:val="false"/>
          <w:bCs w:val="false"/>
          <w:sz w:val="20"/>
          <w:szCs w:val="20"/>
          <w:u w:val="none"/>
          <w:vertAlign w:val="subscript"/>
        </w:rPr>
        <w:t>v</w:t>
      </w: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 xml:space="preserve"> = 40  x 0,9 x 0,81 x 1 = 29,16 kg/m</w:t>
      </w:r>
      <w:r>
        <w:rPr>
          <w:rFonts w:cs="Arial"/>
          <w:b w:val="false"/>
          <w:bCs w:val="false"/>
          <w:sz w:val="20"/>
          <w:szCs w:val="20"/>
          <w:u w:val="none"/>
          <w:vertAlign w:val="superscript"/>
        </w:rPr>
        <w:t xml:space="preserve">2 </w:t>
      </w: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>…..............................................................I. stupeň P.B</w:t>
      </w:r>
    </w:p>
    <w:p>
      <w:pPr>
        <w:pStyle w:val="Normln"/>
        <w:bidi w:val="0"/>
        <w:spacing w:before="120" w:after="0"/>
        <w:jc w:val="both"/>
        <w:rPr>
          <w:rFonts w:ascii="Arial" w:hAnsi="Arial" w:cs="Arial"/>
          <w:b w:val="false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>Odstupová vzdálenost  je stanovena pro l = 2,6 m , h =1,5m, p</w:t>
      </w:r>
      <w:r>
        <w:rPr>
          <w:rFonts w:cs="Arial"/>
          <w:b w:val="false"/>
          <w:bCs w:val="false"/>
          <w:sz w:val="20"/>
          <w:szCs w:val="20"/>
          <w:u w:val="none"/>
          <w:vertAlign w:val="subscript"/>
        </w:rPr>
        <w:t xml:space="preserve">v </w:t>
      </w: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 xml:space="preserve"> = 29,16 kg/m</w:t>
      </w:r>
      <w:r>
        <w:rPr>
          <w:rFonts w:cs="Arial"/>
          <w:b w:val="false"/>
          <w:bCs w:val="false"/>
          <w:sz w:val="20"/>
          <w:szCs w:val="20"/>
          <w:u w:val="none"/>
          <w:vertAlign w:val="superscript"/>
        </w:rPr>
        <w:t>2</w:t>
      </w: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 xml:space="preserve"> ; p</w:t>
      </w:r>
      <w:r>
        <w:rPr>
          <w:rFonts w:cs="Arial"/>
          <w:b w:val="false"/>
          <w:bCs w:val="false"/>
          <w:sz w:val="20"/>
          <w:szCs w:val="20"/>
          <w:u w:val="none"/>
          <w:vertAlign w:val="subscript"/>
        </w:rPr>
        <w:t>0</w:t>
      </w:r>
      <w:r>
        <w:rPr>
          <w:rFonts w:cs="Arial"/>
          <w:b w:val="false"/>
          <w:bCs w:val="false"/>
          <w:position w:val="0"/>
          <w:sz w:val="20"/>
          <w:sz w:val="20"/>
          <w:szCs w:val="20"/>
          <w:u w:val="none"/>
          <w:vertAlign w:val="baseline"/>
        </w:rPr>
        <w:t xml:space="preserve"> = 100%, pak je odstupová vzdálenost stanovena </w:t>
      </w:r>
      <w:r>
        <w:rPr>
          <w:rFonts w:cs="Arial"/>
          <w:b/>
          <w:bCs/>
          <w:position w:val="0"/>
          <w:sz w:val="20"/>
          <w:sz w:val="20"/>
          <w:szCs w:val="20"/>
          <w:u w:val="none"/>
          <w:vertAlign w:val="baseline"/>
        </w:rPr>
        <w:t xml:space="preserve"> na max. 2,2 m . V této  odstupové  vzdálenosti  nejsou umístěny  žádné  objekty.</w:t>
      </w:r>
    </w:p>
    <w:p>
      <w:pPr>
        <w:pStyle w:val="Normln"/>
        <w:bidi w:val="0"/>
        <w:spacing w:before="120" w:after="0"/>
        <w:jc w:val="left"/>
        <w:rPr>
          <w:rFonts w:ascii="Arial" w:hAnsi="Arial" w:cs="Arial"/>
          <w:b w:val="false"/>
          <w:b w:val="false"/>
          <w:bCs w:val="false"/>
          <w:position w:val="0"/>
          <w:sz w:val="20"/>
          <w:sz w:val="20"/>
          <w:szCs w:val="20"/>
          <w:vertAlign w:val="baseline"/>
        </w:rPr>
      </w:pPr>
      <w:r>
        <w:rPr>
          <w:rFonts w:cs="Arial"/>
          <w:b w:val="false"/>
          <w:bCs w:val="false"/>
          <w:position w:val="0"/>
          <w:sz w:val="20"/>
          <w:sz w:val="20"/>
          <w:szCs w:val="20"/>
          <w:vertAlign w:val="baseline"/>
        </w:rPr>
        <w:t xml:space="preserve"> 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color w:val="FF0000"/>
          <w:sz w:val="20"/>
          <w:szCs w:val="20"/>
          <w:u w:val="single"/>
        </w:rPr>
      </w:pPr>
      <w:r>
        <w:rPr>
          <w:rFonts w:ascii="Arial" w:hAnsi="Arial"/>
          <w:b/>
          <w:bCs/>
          <w:color w:val="FF0000"/>
          <w:sz w:val="20"/>
          <w:szCs w:val="20"/>
          <w:u w:val="single"/>
        </w:rPr>
      </w:r>
    </w:p>
    <w:p>
      <w:pPr>
        <w:pStyle w:val="Normln"/>
        <w:bidi w:val="0"/>
        <w:spacing w:before="120"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E/ zhodnocení navr</w:t>
      </w:r>
      <w:r>
        <w:rPr>
          <w:rFonts w:eastAsia="MS Mincho;ＭＳ 明朝"/>
          <w:b/>
          <w:bCs/>
          <w:sz w:val="22"/>
          <w:szCs w:val="22"/>
          <w:u w:val="single"/>
        </w:rPr>
        <w:t>žených</w:t>
      </w:r>
      <w:r>
        <w:rPr>
          <w:b/>
          <w:bCs/>
          <w:sz w:val="22"/>
          <w:szCs w:val="22"/>
          <w:u w:val="single"/>
        </w:rPr>
        <w:t xml:space="preserve"> stavebních konstrukcí a požárních uzávěrů z hlediska jejich požární odolnosti,</w:t>
      </w:r>
    </w:p>
    <w:p>
      <w:pPr>
        <w:pStyle w:val="Normal"/>
        <w:tabs>
          <w:tab w:val="clear" w:pos="709"/>
          <w:tab w:val="left" w:pos="720" w:leader="none"/>
        </w:tabs>
        <w:bidi w:val="0"/>
        <w:spacing w:before="120" w:after="0"/>
        <w:jc w:val="both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>Řešení dle vyhlášky 246/ 2001 Sb, § 41, odst. 2, písm.e</w:t>
      </w:r>
    </w:p>
    <w:p>
      <w:pPr>
        <w:pStyle w:val="Normal"/>
        <w:tabs>
          <w:tab w:val="clear" w:pos="709"/>
          <w:tab w:val="left" w:pos="720" w:leader="none"/>
        </w:tabs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9"/>
          <w:tab w:val="left" w:pos="720" w:leader="none"/>
        </w:tabs>
        <w:bidi w:val="0"/>
        <w:jc w:val="both"/>
        <w:rPr/>
      </w:pPr>
      <w:r>
        <w:rPr>
          <w:rFonts w:cs="Arial" w:ascii="Arial" w:hAnsi="Arial"/>
          <w:b/>
          <w:sz w:val="20"/>
          <w:szCs w:val="20"/>
        </w:rPr>
        <w:t>E.1.1  z hlediska požární odolnosti- požární  odolnost a druh  stavebních konstrukc</w:t>
      </w:r>
      <w:r>
        <w:rPr>
          <w:rFonts w:cs="Arial" w:ascii="Arial" w:hAnsi="Arial"/>
          <w:b/>
          <w:sz w:val="20"/>
          <w:szCs w:val="20"/>
          <w:highlight w:val="yellow"/>
        </w:rPr>
        <w:t>í</w:t>
      </w:r>
    </w:p>
    <w:p>
      <w:pPr>
        <w:pStyle w:val="Normal"/>
        <w:tabs>
          <w:tab w:val="clear" w:pos="709"/>
          <w:tab w:val="left" w:pos="720" w:leader="none"/>
        </w:tabs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9"/>
          <w:tab w:val="left" w:pos="720" w:leader="none"/>
        </w:tabs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9"/>
          <w:tab w:val="left" w:pos="720" w:leader="none"/>
        </w:tabs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tbl>
      <w:tblPr>
        <w:tblW w:w="9721" w:type="dxa"/>
        <w:jc w:val="left"/>
        <w:tblInd w:w="-138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8"/>
        <w:gridCol w:w="492"/>
        <w:gridCol w:w="24"/>
        <w:gridCol w:w="3024"/>
        <w:gridCol w:w="72"/>
        <w:gridCol w:w="780"/>
        <w:gridCol w:w="60"/>
        <w:gridCol w:w="792"/>
        <w:gridCol w:w="48"/>
        <w:gridCol w:w="804"/>
        <w:gridCol w:w="36"/>
        <w:gridCol w:w="816"/>
        <w:gridCol w:w="23"/>
        <w:gridCol w:w="828"/>
        <w:gridCol w:w="839"/>
        <w:gridCol w:w="852"/>
        <w:gridCol w:w="24"/>
        <w:gridCol w:w="36"/>
        <w:gridCol w:w="48"/>
        <w:gridCol w:w="65"/>
      </w:tblGrid>
      <w:tr>
        <w:trPr>
          <w:trHeight w:val="337" w:hRule="exact"/>
        </w:trPr>
        <w:tc>
          <w:tcPr>
            <w:tcW w:w="5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Položka</w:t>
            </w: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Stavební konstrukce</w:t>
            </w:r>
          </w:p>
        </w:tc>
        <w:tc>
          <w:tcPr>
            <w:tcW w:w="612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Stupeň požární bezpečnosti požárního úseku</w:t>
            </w:r>
          </w:p>
        </w:tc>
      </w:tr>
      <w:tr>
        <w:trPr>
          <w:trHeight w:val="337" w:hRule="exact"/>
        </w:trPr>
        <w:tc>
          <w:tcPr>
            <w:tcW w:w="5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0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I.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II.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III.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IV.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VII.</w:t>
            </w:r>
          </w:p>
        </w:tc>
        <w:tc>
          <w:tcPr>
            <w:tcW w:w="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3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0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59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/>
            </w:pPr>
            <w:r>
              <w:rPr>
                <w:rFonts w:cs="Arial"/>
                <w:sz w:val="16"/>
                <w:szCs w:val="16"/>
              </w:rPr>
              <w:t>Požární odolnost stavební konstrukce a její druh (viz 7.2.4)</w:t>
            </w:r>
            <w:r>
              <w:rPr>
                <w:rFonts w:cs="Arial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3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Požární stěny a požární stropy, viz 8.2 a 8.3,</w:t>
            </w:r>
          </w:p>
          <w:p>
            <w:pPr>
              <w:pStyle w:val="Texttabulky"/>
              <w:bidi w:val="0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a) v podzemních podlažích</w:t>
              <w:br/>
              <w:t>b) v nadzemních podlažích</w:t>
              <w:br/>
              <w:t>c) v posledním nadzemním podlaží</w:t>
              <w:br/>
              <w:t>d) mezi objekty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b w:val="false"/>
                <w:b w:val="false"/>
                <w:bCs w:val="false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t>30 DP1</w:t>
              <w:br/>
              <w:t>15</w:t>
            </w:r>
            <w:r>
              <w:rPr>
                <w:rFonts w:cs="Arial"/>
                <w:b w:val="false"/>
                <w:bCs w:val="false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t>15</w:t>
            </w:r>
            <w:r>
              <w:rPr>
                <w:rFonts w:cs="Arial"/>
                <w:b w:val="false"/>
                <w:bCs w:val="false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t>30 DP1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/>
            </w:pPr>
            <w:r>
              <w:rPr>
                <w:rFonts w:cs="Arial"/>
                <w:sz w:val="16"/>
                <w:szCs w:val="16"/>
              </w:rPr>
              <w:t>45 DP1</w:t>
              <w:br/>
              <w:t>30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t>15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t>45 DP1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/>
            </w:pPr>
            <w:r>
              <w:rPr>
                <w:rFonts w:cs="Arial"/>
                <w:b/>
                <w:bCs/>
                <w:sz w:val="16"/>
                <w:szCs w:val="16"/>
              </w:rPr>
              <w:t>60 DP1</w:t>
              <w:br/>
              <w:t>45</w:t>
            </w:r>
            <w:r>
              <w:rPr>
                <w:rFonts w:cs="Arial"/>
                <w:b/>
                <w:bCs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t>30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t>60 DP1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/>
            </w:pPr>
            <w:r>
              <w:rPr>
                <w:rFonts w:cs="Arial"/>
                <w:sz w:val="16"/>
                <w:szCs w:val="16"/>
              </w:rPr>
              <w:t>90 DP1</w:t>
              <w:br/>
              <w:t>60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t>30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t>90 DP1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 xml:space="preserve"> </w:t>
            </w:r>
          </w:p>
          <w:p>
            <w:pPr>
              <w:pStyle w:val="Texttabulky"/>
              <w:bidi w:val="0"/>
              <w:spacing w:before="60" w:after="60"/>
              <w:jc w:val="center"/>
              <w:rPr/>
            </w:pPr>
            <w:r>
              <w:rPr>
                <w:rFonts w:cs="Arial"/>
                <w:b/>
                <w:bCs/>
                <w:sz w:val="16"/>
                <w:szCs w:val="16"/>
              </w:rPr>
              <w:t>120 DP1</w:t>
            </w:r>
            <w:r>
              <w:rPr>
                <w:rFonts w:cs="Arial"/>
                <w:sz w:val="16"/>
                <w:szCs w:val="16"/>
              </w:rPr>
              <w:br/>
              <w:t>90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t>45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t>120 DP1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 DP1</w:t>
              <w:br/>
              <w:t>120 DP1</w:t>
              <w:br/>
              <w:t xml:space="preserve"> 60 DP1</w:t>
              <w:br/>
              <w:t>180 DP1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 DP1</w:t>
              <w:br/>
              <w:t>180 DP1</w:t>
              <w:br/>
              <w:t xml:space="preserve"> 90 DP1</w:t>
              <w:br/>
              <w:t>180 DP1</w:t>
            </w:r>
          </w:p>
        </w:tc>
      </w:tr>
      <w:tr>
        <w:trPr/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Požární uzávěry otvorů v požárních stěnách a požárních stropech</w:t>
            </w:r>
          </w:p>
          <w:p>
            <w:pPr>
              <w:pStyle w:val="Texttabulky"/>
              <w:bidi w:val="0"/>
              <w:snapToGrid w:val="false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, viz 8.5.1</w:t>
            </w:r>
          </w:p>
          <w:p>
            <w:pPr>
              <w:pStyle w:val="Texttabulky"/>
              <w:bidi w:val="0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a) v podzemních podlažích a ve všech podlažích mezi objekty</w:t>
              <w:br/>
              <w:t>b) v nadzemních podlažích</w:t>
              <w:br/>
              <w:t>c) v posledním nadzemním podlaží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b w:val="false"/>
                <w:b w:val="false"/>
                <w:bCs w:val="false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b w:val="false"/>
                <w:b w:val="false"/>
                <w:bCs w:val="false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t>15 DP1</w:t>
              <w:br/>
              <w:t>15 DP3</w:t>
              <w:br/>
              <w:t>15 DP3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30 DP1</w:t>
              <w:br/>
              <w:t>15 DP3</w:t>
              <w:br/>
              <w:t>15 DP3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</w:r>
            <w:r>
              <w:rPr>
                <w:rFonts w:cs="Arial"/>
                <w:b/>
                <w:bCs/>
                <w:sz w:val="16"/>
                <w:szCs w:val="16"/>
              </w:rPr>
              <w:t>30 DP1</w:t>
            </w:r>
            <w:r>
              <w:rPr>
                <w:rFonts w:cs="Arial"/>
                <w:sz w:val="16"/>
                <w:szCs w:val="16"/>
              </w:rPr>
              <w:br/>
              <w:t>30 DP3</w:t>
              <w:br/>
              <w:t>15 DP3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45 DP1</w:t>
              <w:br/>
              <w:t>30 DP3</w:t>
              <w:br/>
              <w:t>30 DP3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</w:r>
            <w:r>
              <w:rPr>
                <w:rFonts w:cs="Arial"/>
                <w:b/>
                <w:bCs/>
                <w:sz w:val="16"/>
                <w:szCs w:val="16"/>
              </w:rPr>
              <w:t>60 DP1</w:t>
            </w:r>
            <w:r>
              <w:rPr>
                <w:rFonts w:cs="Arial"/>
                <w:sz w:val="16"/>
                <w:szCs w:val="16"/>
              </w:rPr>
              <w:br/>
              <w:t>45 DP2</w:t>
              <w:br/>
              <w:t>30 DP3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90 DP1</w:t>
              <w:br/>
              <w:t>60 DP1</w:t>
              <w:br/>
              <w:t>45 DP2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90 DP1</w:t>
              <w:br/>
              <w:t>90 DP1</w:t>
              <w:br/>
              <w:t>60 DP1</w:t>
            </w:r>
          </w:p>
        </w:tc>
      </w:tr>
      <w:tr>
        <w:trPr/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Obvodové stěny, viz 8.4.1 a 8.4.10,</w:t>
            </w:r>
          </w:p>
          <w:p>
            <w:pPr>
              <w:pStyle w:val="Texttabulky"/>
              <w:bidi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a) zajišťující stabilitu objektu nebo jeho části</w:t>
              <w:br/>
              <w:t xml:space="preserve"> 1) v podzemních podlažích</w:t>
              <w:br/>
              <w:t xml:space="preserve"> 2) v nadzemních podlažích</w:t>
              <w:br/>
              <w:t xml:space="preserve"> 3) v posledním nadzemním podlaží</w:t>
            </w:r>
          </w:p>
          <w:p>
            <w:pPr>
              <w:pStyle w:val="Texttabulky"/>
              <w:bidi w:val="0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b) nezajišťující stabilitu objektu nebo jeho části </w:t>
              <w:br/>
              <w:t> (bez ohledu na podlaží)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b w:val="false"/>
                <w:b w:val="false"/>
                <w:bCs w:val="false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</w:r>
          </w:p>
          <w:p>
            <w:pPr>
              <w:pStyle w:val="Texttabulky"/>
              <w:bidi w:val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t>30 DP1</w:t>
              <w:br/>
              <w:t>15</w:t>
            </w:r>
            <w:r>
              <w:rPr>
                <w:rFonts w:cs="Arial"/>
                <w:b w:val="false"/>
                <w:bCs w:val="false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br/>
              <w:t>15</w:t>
            </w:r>
            <w:r>
              <w:rPr>
                <w:rFonts w:cs="Arial"/>
                <w:b w:val="false"/>
                <w:bCs w:val="false"/>
                <w:sz w:val="16"/>
                <w:szCs w:val="16"/>
                <w:vertAlign w:val="superscript"/>
              </w:rPr>
              <w:t>+1)</w:t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br/>
              <w:t>15</w:t>
            </w:r>
            <w:r>
              <w:rPr>
                <w:rFonts w:cs="Arial"/>
                <w:b w:val="false"/>
                <w:bCs w:val="false"/>
                <w:sz w:val="16"/>
                <w:szCs w:val="16"/>
                <w:vertAlign w:val="superscript"/>
              </w:rPr>
              <w:t>+2)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Texttabulky"/>
              <w:bidi w:val="0"/>
              <w:jc w:val="center"/>
              <w:rPr/>
            </w:pPr>
            <w:r>
              <w:rPr>
                <w:rFonts w:cs="Arial"/>
                <w:sz w:val="16"/>
                <w:szCs w:val="16"/>
              </w:rPr>
              <w:br/>
              <w:t>45 DP1</w:t>
              <w:br/>
              <w:t>30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br/>
              <w:t>15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</w:p>
          <w:p>
            <w:pPr>
              <w:pStyle w:val="Texttabulky"/>
              <w:bidi w:val="0"/>
              <w:spacing w:before="60" w:after="60"/>
              <w:jc w:val="center"/>
              <w:rPr/>
            </w:pPr>
            <w:r>
              <w:rPr>
                <w:rFonts w:cs="Arial"/>
                <w:sz w:val="16"/>
                <w:szCs w:val="16"/>
              </w:rPr>
              <w:br/>
              <w:br/>
              <w:t>15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Texttabulky"/>
              <w:bidi w:val="0"/>
              <w:jc w:val="center"/>
              <w:rPr/>
            </w:pPr>
            <w:r>
              <w:rPr>
                <w:rFonts w:cs="Arial"/>
                <w:sz w:val="16"/>
                <w:szCs w:val="16"/>
              </w:rPr>
              <w:br/>
              <w:t>60 DP1</w:t>
              <w:br/>
              <w:t>45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br/>
              <w:t>30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</w:p>
          <w:p>
            <w:pPr>
              <w:pStyle w:val="Texttabulky"/>
              <w:bidi w:val="0"/>
              <w:spacing w:before="60" w:after="60"/>
              <w:jc w:val="center"/>
              <w:rPr/>
            </w:pPr>
            <w:r>
              <w:rPr>
                <w:rFonts w:cs="Arial"/>
                <w:sz w:val="16"/>
                <w:szCs w:val="16"/>
              </w:rPr>
              <w:br/>
              <w:br/>
              <w:t>30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Texttabulky"/>
              <w:bidi w:val="0"/>
              <w:jc w:val="center"/>
              <w:rPr/>
            </w:pPr>
            <w:r>
              <w:rPr>
                <w:rFonts w:cs="Arial"/>
                <w:sz w:val="16"/>
                <w:szCs w:val="16"/>
              </w:rPr>
              <w:br/>
              <w:t>90 DP1</w:t>
              <w:br/>
              <w:t>60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br/>
              <w:t>30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</w:p>
          <w:p>
            <w:pPr>
              <w:pStyle w:val="Texttabulky"/>
              <w:bidi w:val="0"/>
              <w:spacing w:before="60" w:after="60"/>
              <w:jc w:val="center"/>
              <w:rPr/>
            </w:pPr>
            <w:r>
              <w:rPr>
                <w:rFonts w:cs="Arial"/>
                <w:sz w:val="16"/>
                <w:szCs w:val="16"/>
              </w:rPr>
              <w:br/>
              <w:br/>
              <w:t>30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Texttabulky"/>
              <w:bidi w:val="0"/>
              <w:jc w:val="center"/>
              <w:rPr/>
            </w:pPr>
            <w:r>
              <w:rPr>
                <w:rFonts w:cs="Arial"/>
                <w:sz w:val="16"/>
                <w:szCs w:val="16"/>
              </w:rPr>
              <w:br/>
              <w:t>120 DP1</w:t>
              <w:br/>
              <w:t>90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br/>
              <w:br/>
              <w:t>45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</w:p>
          <w:p>
            <w:pPr>
              <w:pStyle w:val="Texttabulky"/>
              <w:bidi w:val="0"/>
              <w:spacing w:before="60" w:after="60"/>
              <w:jc w:val="center"/>
              <w:rPr/>
            </w:pPr>
            <w:r>
              <w:rPr>
                <w:rFonts w:cs="Arial"/>
                <w:sz w:val="16"/>
                <w:szCs w:val="16"/>
              </w:rPr>
              <w:br/>
              <w:br/>
              <w:t>45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Texttabulky"/>
              <w:bidi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180 DP1</w:t>
              <w:br/>
              <w:t>120 DP1</w:t>
              <w:br/>
              <w:br/>
              <w:t xml:space="preserve"> 60 DP1</w:t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 xml:space="preserve"> 60 DP1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Texttabulky"/>
              <w:bidi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180 DP1</w:t>
              <w:br/>
              <w:t>180 DP1</w:t>
              <w:br/>
              <w:br/>
              <w:t xml:space="preserve"> 90 DP1</w:t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 xml:space="preserve"> 90 DP1</w:t>
            </w:r>
          </w:p>
        </w:tc>
      </w:tr>
      <w:tr>
        <w:trPr/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Nosné konstrukce střech, viz 8.7.2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t>15</w:t>
            </w:r>
            <w:r>
              <w:rPr>
                <w:rFonts w:cs="Arial"/>
                <w:b w:val="false"/>
                <w:bCs w:val="false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60 DP1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90 DP1</w:t>
            </w:r>
          </w:p>
        </w:tc>
      </w:tr>
      <w:tr>
        <w:trPr/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Nosné konstrukce uvnitř požárního úseku, které zajišťují stabilitu objektu, viz 8.7.1 a 8.7.2,</w:t>
            </w:r>
          </w:p>
          <w:p>
            <w:pPr>
              <w:pStyle w:val="Texttabulky"/>
              <w:bidi w:val="0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a) v podzemních podlažích </w:t>
              <w:br/>
              <w:t>b) v nadzemních podlažích</w:t>
              <w:br/>
              <w:t>c) v posledním nadzemním podlaží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b w:val="false"/>
                <w:b w:val="false"/>
                <w:bCs w:val="false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30 DP1</w:t>
            </w: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t>15</w:t>
              <w:br/>
              <w:t xml:space="preserve"> 15</w:t>
            </w:r>
            <w:r>
              <w:rPr>
                <w:rFonts w:cs="Arial"/>
                <w:b w:val="false"/>
                <w:bCs w:val="false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45 DP1</w:t>
              <w:br/>
              <w:t>30</w:t>
              <w:br/>
              <w:t>15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60 DP1</w:t>
              <w:br/>
              <w:t>45</w:t>
              <w:br/>
              <w:t>30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90 DP1</w:t>
              <w:br/>
              <w:t>60</w:t>
              <w:br/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120 DP1</w:t>
              <w:br/>
              <w:t>90</w:t>
              <w:br/>
              <w:t>45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 DP1</w:t>
              <w:br/>
              <w:t>120 DP1</w:t>
              <w:br/>
              <w:t xml:space="preserve"> 60 DP1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 DP1</w:t>
              <w:br/>
              <w:t>180 DP1</w:t>
              <w:br/>
              <w:t xml:space="preserve"> 90 DP1</w:t>
            </w:r>
          </w:p>
        </w:tc>
      </w:tr>
      <w:tr>
        <w:trPr/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Nosné konstrukce vně objektu, které zajišťují stabilitu objektu </w:t>
              <w:br/>
              <w:t>(bez ohledu na podlaží), viz 8.7.3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br/>
              <w:t>15</w:t>
            </w:r>
            <w:r>
              <w:rPr>
                <w:rFonts w:cs="Arial"/>
                <w:b w:val="false"/>
                <w:bCs w:val="false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15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15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30 DP1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45 DP1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60 DP1</w:t>
            </w:r>
          </w:p>
        </w:tc>
      </w:tr>
      <w:tr>
        <w:trPr/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Nosné konstrukce uvnitř požárního úseku, které nezajišťují stabilitu objektu, viz 8.7.5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br/>
              <w:t>15</w:t>
            </w:r>
            <w:r>
              <w:rPr>
                <w:rFonts w:cs="Arial"/>
                <w:b w:val="false"/>
                <w:bCs w:val="false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15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30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45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45 DP1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60 DP1</w:t>
            </w:r>
          </w:p>
        </w:tc>
      </w:tr>
      <w:tr>
        <w:trPr/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Nenosné konstrukce uvnitř požárního úseku, viz 8.8.1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b w:val="false"/>
                <w:b w:val="false"/>
                <w:bCs w:val="false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br/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b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br/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DP3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DP3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DP2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DP1</w:t>
            </w:r>
          </w:p>
        </w:tc>
      </w:tr>
      <w:tr>
        <w:trPr/>
        <w:tc>
          <w:tcPr>
            <w:tcW w:w="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Konstrukce schodišť uvnitř požárního úseku, které nejsou součástí chráněných únikových cest, viz 8.9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/>
            </w:pPr>
            <w:r>
              <w:rPr>
                <w:rFonts w:cs="Arial"/>
                <w:b/>
                <w:sz w:val="16"/>
                <w:szCs w:val="16"/>
              </w:rPr>
              <w:br/>
            </w:r>
            <w:r>
              <w:rPr>
                <w:rFonts w:cs="Arial"/>
                <w:sz w:val="16"/>
                <w:szCs w:val="16"/>
              </w:rPr>
              <w:br/>
              <w:t>15 DP3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15 DP3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15 DP1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30 DP1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45 DP1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t>45 DP1</w:t>
            </w:r>
          </w:p>
        </w:tc>
      </w:tr>
      <w:tr>
        <w:trPr>
          <w:trHeight w:val="337" w:hRule="exact"/>
        </w:trPr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Položka</w:t>
            </w:r>
          </w:p>
        </w:tc>
        <w:tc>
          <w:tcPr>
            <w:tcW w:w="31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Stavební konstrukce</w:t>
            </w:r>
          </w:p>
        </w:tc>
        <w:tc>
          <w:tcPr>
            <w:tcW w:w="605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Stupeň požární bezpečnosti požárního úseku</w:t>
            </w:r>
          </w:p>
        </w:tc>
      </w:tr>
      <w:tr>
        <w:trPr>
          <w:trHeight w:val="337" w:hRule="exact"/>
        </w:trPr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12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I.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II.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III.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IV.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VI.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VII.</w:t>
            </w:r>
          </w:p>
        </w:tc>
      </w:tr>
      <w:tr>
        <w:trPr/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12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605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/>
            </w:pPr>
            <w:r>
              <w:rPr>
                <w:rFonts w:cs="Arial"/>
                <w:sz w:val="16"/>
                <w:szCs w:val="16"/>
              </w:rPr>
              <w:t>Požární odolnost stavební konstrukce a její druh (viz 7.2.4)</w:t>
            </w:r>
            <w:r>
              <w:rPr>
                <w:rFonts w:cs="Arial"/>
                <w:sz w:val="16"/>
                <w:szCs w:val="16"/>
                <w:vertAlign w:val="superscript"/>
              </w:rPr>
              <w:t>3)</w:t>
            </w:r>
          </w:p>
        </w:tc>
      </w:tr>
      <w:tr>
        <w:trPr>
          <w:trHeight w:val="1492" w:hRule="exact"/>
        </w:trPr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1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Výtahové a instalační šachty, viz 8.10 až 8.13</w:t>
            </w:r>
          </w:p>
          <w:p>
            <w:pPr>
              <w:pStyle w:val="Texttabulky"/>
              <w:bidi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a) šachty evakuačních a požárních výtahů a šachty ostatní (např. instalační), jejichž výška přesahuje 45 m</w:t>
            </w:r>
          </w:p>
          <w:p>
            <w:pPr>
              <w:pStyle w:val="Texttabulky"/>
              <w:bidi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1) požárně dělicí konstrukce</w:t>
            </w:r>
          </w:p>
          <w:p>
            <w:pPr>
              <w:pStyle w:val="Texttabulky"/>
              <w:bidi w:val="0"/>
              <w:spacing w:before="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2) požární uzávěry otvorů v požárně dělicích konstrukcích</w:t>
            </w:r>
          </w:p>
          <w:p>
            <w:pPr>
              <w:pStyle w:val="Texttabulky"/>
              <w:bidi w:val="0"/>
              <w:spacing w:before="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Texttabulky"/>
              <w:bidi w:val="0"/>
              <w:spacing w:before="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b) šachty ostatní (výtahové, instalační apod.), jejichž výška je </w:t>
              <w:br/>
              <w:t>45 m a menší</w:t>
            </w:r>
          </w:p>
          <w:p>
            <w:pPr>
              <w:pStyle w:val="Texttabulky"/>
              <w:bidi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1) požárně dělicí konstrukce</w:t>
            </w:r>
          </w:p>
          <w:p>
            <w:pPr>
              <w:pStyle w:val="Texttabulky"/>
              <w:bidi w:val="0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2) požární uzávěry otvorů v požárně dělicích konstrukcích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</w:r>
          </w:p>
          <w:p>
            <w:pPr>
              <w:pStyle w:val="Texttabulky"/>
              <w:bidi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  <w:br/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>
          <w:trHeight w:val="337" w:hRule="exact"/>
        </w:trPr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12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605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podle položky 1</w:t>
            </w:r>
          </w:p>
        </w:tc>
      </w:tr>
      <w:tr>
        <w:trPr>
          <w:trHeight w:val="497" w:hRule="exact"/>
        </w:trPr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12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605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16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podle položky 2</w:t>
            </w:r>
          </w:p>
        </w:tc>
      </w:tr>
      <w:tr>
        <w:trPr>
          <w:trHeight w:val="751" w:hRule="exact"/>
        </w:trPr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12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br/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>
          <w:trHeight w:val="337" w:hRule="exact"/>
        </w:trPr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12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b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30 DP2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 DP2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 DP1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 DP1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45 DP1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60 DP1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90 DP1</w:t>
            </w:r>
          </w:p>
        </w:tc>
      </w:tr>
      <w:tr>
        <w:trPr/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12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b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br/>
              <w:t>15 DP2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15 DP2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15 DP1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15 DP1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30 DP1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30 DP1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br/>
              <w:t>45 DP1</w:t>
            </w:r>
          </w:p>
        </w:tc>
      </w:tr>
      <w:tr>
        <w:trPr/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Střešní pláště, viz 8.15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b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 DP1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45 DP1</w:t>
            </w:r>
          </w:p>
        </w:tc>
      </w:tr>
      <w:tr>
        <w:trPr>
          <w:trHeight w:val="337" w:hRule="exact"/>
        </w:trPr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31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Jednopodlažní objekty, viz 8.1.1,</w:t>
            </w:r>
          </w:p>
          <w:p>
            <w:pPr>
              <w:pStyle w:val="Texttabulky"/>
              <w:bidi w:val="0"/>
              <w:spacing w:before="60" w:after="6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a) požární stěny</w:t>
              <w:br/>
              <w:t>b) požární uzávěry otvorů v požárních stěnách</w:t>
              <w:br/>
              <w:t>c) svislé požární pásy v obvodových stěnách mezi objekty a obvodové stěny, pokud mají být bez požárně otevřených ploch</w:t>
            </w:r>
          </w:p>
        </w:tc>
        <w:tc>
          <w:tcPr>
            <w:tcW w:w="605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staticky nezávislé</w:t>
            </w:r>
          </w:p>
        </w:tc>
      </w:tr>
      <w:tr>
        <w:trPr/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312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b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30 DP1</w:t>
              <w:br/>
              <w:br/>
              <w:t>15 DP1</w:t>
              <w:br/>
              <w:br/>
              <w:br/>
              <w:br/>
              <w:t>15 DP1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45 DP1</w:t>
              <w:br/>
              <w:br/>
              <w:t>30 DP1</w:t>
              <w:br/>
              <w:br/>
              <w:br/>
              <w:br/>
              <w:t>30 DP1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60 DP1</w:t>
              <w:br/>
              <w:br/>
              <w:t>30 DP1</w:t>
              <w:br/>
              <w:br/>
              <w:br/>
              <w:br/>
              <w:t>30 DP1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90 DP1</w:t>
              <w:br/>
              <w:br/>
              <w:t>45 DP1</w:t>
              <w:br/>
              <w:br/>
              <w:br/>
              <w:br/>
              <w:t>45 DP1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  <w:br/>
              <w:br/>
              <w:t>-</w:t>
              <w:br/>
              <w:br/>
              <w:br/>
              <w:br/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  <w:br/>
              <w:br/>
              <w:t>-</w:t>
              <w:br/>
              <w:br/>
              <w:br/>
              <w:br/>
              <w:t>-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  <w:br/>
              <w:br/>
              <w:t>-</w:t>
              <w:br/>
              <w:br/>
              <w:br/>
              <w:br/>
              <w:t>-</w:t>
            </w:r>
          </w:p>
        </w:tc>
      </w:tr>
      <w:tr>
        <w:trPr/>
        <w:tc>
          <w:tcPr>
            <w:tcW w:w="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966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exttabulky"/>
              <w:bidi w:val="0"/>
              <w:snapToGrid w:val="false"/>
              <w:spacing w:before="60" w:after="60"/>
              <w:jc w:val="both"/>
              <w:rPr/>
            </w:pPr>
            <w:r>
              <w:rPr>
                <w:rFonts w:cs="Arial"/>
                <w:sz w:val="16"/>
                <w:szCs w:val="16"/>
                <w:vertAlign w:val="superscript"/>
              </w:rPr>
              <w:t>1)</w:t>
            </w:r>
            <w:r>
              <w:rPr>
                <w:rFonts w:cs="Arial"/>
                <w:sz w:val="16"/>
                <w:szCs w:val="16"/>
              </w:rPr>
              <w:t xml:space="preserve"> Musí být splněny v těch případech, kde se počítá se snižujícím součinitelem </w:t>
            </w:r>
            <w:r>
              <w:rPr>
                <w:rFonts w:cs="Arial"/>
                <w:i/>
                <w:sz w:val="16"/>
                <w:szCs w:val="16"/>
              </w:rPr>
              <w:t>c</w:t>
            </w:r>
            <w:r>
              <w:rPr>
                <w:rFonts w:cs="Arial"/>
                <w:sz w:val="16"/>
                <w:szCs w:val="16"/>
                <w:vertAlign w:val="subscript"/>
              </w:rPr>
              <w:t>2</w:t>
            </w:r>
            <w:r>
              <w:rPr>
                <w:rFonts w:cs="Arial"/>
                <w:sz w:val="16"/>
                <w:szCs w:val="16"/>
              </w:rPr>
              <w:t xml:space="preserve"> až </w:t>
            </w:r>
            <w:r>
              <w:rPr>
                <w:rFonts w:cs="Arial"/>
                <w:i/>
                <w:sz w:val="16"/>
                <w:szCs w:val="16"/>
              </w:rPr>
              <w:t>c</w:t>
            </w:r>
            <w:r>
              <w:rPr>
                <w:rFonts w:cs="Arial"/>
                <w:i/>
                <w:sz w:val="16"/>
                <w:szCs w:val="16"/>
                <w:vertAlign w:val="subscript"/>
              </w:rPr>
              <w:t>4</w:t>
            </w:r>
            <w:r>
              <w:rPr>
                <w:rFonts w:cs="Arial"/>
                <w:sz w:val="16"/>
                <w:szCs w:val="16"/>
              </w:rPr>
              <w:t>; v ostatních případech se jejich splnění pouze doporučuje podle 8.1.2. Pokud není dosažena u položky 3a3) a položky 4 požární odolnost 15 minut, posuzují se tyto konstrukce jako zcela požárně otevřené plochy (požadavek se týká položky 4 jen v případě, že nosná konstrukce střechy je současně střešním pláštěm).</w:t>
            </w:r>
          </w:p>
          <w:p>
            <w:pPr>
              <w:pStyle w:val="Texttabulky"/>
              <w:bidi w:val="0"/>
              <w:jc w:val="both"/>
              <w:rPr/>
            </w:pPr>
            <w:r>
              <w:rPr>
                <w:rFonts w:cs="Arial"/>
                <w:sz w:val="16"/>
                <w:szCs w:val="16"/>
                <w:vertAlign w:val="superscript"/>
              </w:rPr>
              <w:t>2)</w:t>
            </w:r>
            <w:r>
              <w:rPr>
                <w:rFonts w:cs="Arial"/>
                <w:sz w:val="16"/>
                <w:szCs w:val="16"/>
              </w:rPr>
              <w:t xml:space="preserve"> Pouze se doporučují; pokud není dosaženo u položky 3b) požární odolnosti 15 minut, posuzují se tyto konstrukce jako zcela požárně otevřené plochy.</w:t>
            </w:r>
          </w:p>
          <w:p>
            <w:pPr>
              <w:pStyle w:val="Texttabulky"/>
              <w:bidi w:val="0"/>
              <w:spacing w:before="60" w:after="60"/>
              <w:jc w:val="both"/>
              <w:rPr/>
            </w:pPr>
            <w:r>
              <w:rPr>
                <w:rFonts w:cs="Arial"/>
                <w:sz w:val="16"/>
                <w:szCs w:val="16"/>
                <w:vertAlign w:val="superscript"/>
              </w:rPr>
              <w:t>3)</w:t>
            </w:r>
            <w:r>
              <w:rPr>
                <w:rFonts w:cs="Arial"/>
                <w:sz w:val="16"/>
                <w:szCs w:val="16"/>
              </w:rPr>
              <w:t xml:space="preserve"> Konstrukce označené křížkem (</w:t>
            </w:r>
            <w:r>
              <w:rPr>
                <w:rFonts w:cs="Arial"/>
                <w:sz w:val="16"/>
                <w:szCs w:val="16"/>
                <w:vertAlign w:val="superscript"/>
              </w:rPr>
              <w:t>+</w:t>
            </w:r>
            <w:r>
              <w:rPr>
                <w:rFonts w:cs="Arial"/>
                <w:sz w:val="16"/>
                <w:szCs w:val="16"/>
              </w:rPr>
              <w:t>) viz 8.1.3.</w:t>
            </w:r>
          </w:p>
        </w:tc>
      </w:tr>
    </w:tbl>
    <w:p>
      <w:pPr>
        <w:pStyle w:val="Normal"/>
        <w:tabs>
          <w:tab w:val="clear" w:pos="709"/>
          <w:tab w:val="left" w:pos="720" w:leader="none"/>
        </w:tabs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9"/>
          <w:tab w:val="left" w:pos="720" w:leader="none"/>
        </w:tabs>
        <w:bidi w:val="0"/>
        <w:jc w:val="both"/>
        <w:rPr/>
      </w:pPr>
      <w:r>
        <w:rPr/>
      </w:r>
    </w:p>
    <w:p>
      <w:pPr>
        <w:pStyle w:val="TextBodyIndent"/>
        <w:bidi w:val="0"/>
        <w:ind w:left="0" w:right="0" w:hanging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 xml:space="preserve">Navrhované stavební konstrukce vyhovují pro požadované stupně požární bezpečnosti </w:t>
      </w:r>
      <w:r>
        <w:rPr>
          <w:rFonts w:cs="Arial" w:ascii="Arial" w:hAnsi="Arial"/>
          <w:color w:val="000000"/>
          <w:sz w:val="20"/>
          <w:szCs w:val="20"/>
        </w:rPr>
        <w:t>– řešeno viz výše.</w:t>
      </w:r>
    </w:p>
    <w:p>
      <w:pPr>
        <w:pStyle w:val="TextBody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Pro dveře platí vyhláška č. 202/ 1999 Sb.- platí zejména pro dodavatele stavby</w:t>
      </w:r>
      <w:r>
        <w:rPr>
          <w:rFonts w:cs="Arial" w:ascii="Arial" w:hAnsi="Arial"/>
          <w:color w:val="000000"/>
          <w:sz w:val="20"/>
          <w:szCs w:val="20"/>
        </w:rPr>
        <w:t>Všechny požární uzávěry a zárubně musí být označeny  trvalými štítky s označením druhu požárních dveří a jejich požární odolností.</w:t>
      </w:r>
    </w:p>
    <w:p>
      <w:pPr>
        <w:pStyle w:val="Normal"/>
        <w:bidi w:val="0"/>
        <w:spacing w:before="120" w:after="0"/>
        <w:jc w:val="left"/>
        <w:rPr/>
      </w:pPr>
      <w:r>
        <w:rPr>
          <w:rFonts w:cs="Arial" w:ascii="Arial" w:hAnsi="Arial"/>
          <w:b/>
          <w:sz w:val="20"/>
          <w:szCs w:val="20"/>
        </w:rPr>
        <w:t>Požární uzávěry</w:t>
      </w:r>
      <w:r>
        <w:rPr>
          <w:rFonts w:cs="Arial" w:ascii="Arial" w:hAnsi="Arial"/>
          <w:sz w:val="20"/>
          <w:szCs w:val="20"/>
        </w:rPr>
        <w:t xml:space="preserve"> jednotlivých požárních úseků jsou požární  dveře typu:</w:t>
      </w:r>
    </w:p>
    <w:p>
      <w:pPr>
        <w:pStyle w:val="TextBody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EW …….požáru odolné dveře </w:t>
      </w:r>
    </w:p>
    <w:p>
      <w:pPr>
        <w:pStyle w:val="TextBody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EI……….požáru bránící dveře</w:t>
      </w:r>
    </w:p>
    <w:p>
      <w:pPr>
        <w:pStyle w:val="TextBody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DP3…….hořlavé</w:t>
      </w:r>
    </w:p>
    <w:p>
      <w:pPr>
        <w:pStyle w:val="TextBody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DP1…….nehořlavé</w:t>
      </w:r>
    </w:p>
    <w:p>
      <w:pPr>
        <w:pStyle w:val="TextBody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C1 …..... samozavírač ( 500 cyklů ) </w:t>
      </w:r>
    </w:p>
    <w:p>
      <w:pPr>
        <w:pStyle w:val="TextBody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C2 …......samozavírač ( 10 000 cyklů)- dveře na hranici PÚ </w:t>
      </w:r>
    </w:p>
    <w:p>
      <w:pPr>
        <w:pStyle w:val="TextBody"/>
        <w:bidi w:val="0"/>
        <w:jc w:val="left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 xml:space="preserve">C3 ……...samozavírač ( 50 000 cyklů) do  CHÚC B, </w:t>
      </w:r>
    </w:p>
    <w:p>
      <w:pPr>
        <w:pStyle w:val="TextBody"/>
        <w:bidi w:val="0"/>
        <w:jc w:val="left"/>
        <w:rPr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>S</w:t>
      </w:r>
      <w:r>
        <w:rPr>
          <w:rFonts w:cs="Arial" w:ascii="Arial" w:hAnsi="Arial"/>
          <w:b w:val="false"/>
          <w:bCs w:val="false"/>
          <w:sz w:val="20"/>
          <w:szCs w:val="20"/>
          <w:vertAlign w:val="subscript"/>
        </w:rPr>
        <w:t>m</w:t>
      </w:r>
      <w:r>
        <w:rPr>
          <w:rFonts w:cs="Arial" w:ascii="Arial" w:hAnsi="Arial"/>
          <w:b w:val="false"/>
          <w:bCs w:val="false"/>
          <w:sz w:val="20"/>
          <w:szCs w:val="20"/>
        </w:rPr>
        <w:t xml:space="preserve"> ….......kouřotěsnost 200°C</w:t>
      </w:r>
    </w:p>
    <w:p>
      <w:pPr>
        <w:pStyle w:val="TextBody"/>
        <w:bidi w:val="0"/>
        <w:spacing w:before="0" w:after="120"/>
        <w:jc w:val="left"/>
        <w:rPr/>
      </w:pPr>
      <w:r>
        <w:rPr>
          <w:rFonts w:cs="Arial" w:ascii="Arial" w:hAnsi="Arial"/>
          <w:sz w:val="20"/>
          <w:szCs w:val="20"/>
        </w:rPr>
        <w:t>S</w:t>
      </w:r>
      <w:r>
        <w:rPr>
          <w:rFonts w:cs="Arial" w:ascii="Arial" w:hAnsi="Arial"/>
          <w:sz w:val="20"/>
          <w:szCs w:val="20"/>
          <w:vertAlign w:val="subscript"/>
        </w:rPr>
        <w:t>a..</w:t>
      </w:r>
      <w:r>
        <w:rPr>
          <w:rFonts w:cs="Arial" w:ascii="Arial" w:hAnsi="Arial"/>
          <w:sz w:val="20"/>
          <w:szCs w:val="20"/>
        </w:rPr>
        <w:t>.........kouřotěsnost 20°C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u w:val="single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</w:r>
    </w:p>
    <w:p>
      <w:pPr>
        <w:pStyle w:val="TextBody"/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  <w:u w:val="single"/>
        </w:rPr>
        <w:t>Rozmístění dveří</w:t>
      </w:r>
      <w:r>
        <w:rPr>
          <w:rFonts w:cs="Arial" w:ascii="Arial" w:hAnsi="Arial"/>
          <w:b/>
          <w:bCs/>
          <w:color w:val="FF3366"/>
          <w:sz w:val="20"/>
          <w:szCs w:val="20"/>
          <w:u w:val="single"/>
        </w:rPr>
        <w:t xml:space="preserve"> 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color w:val="0000FF"/>
          <w:sz w:val="20"/>
          <w:szCs w:val="20"/>
          <w:u w:val="none"/>
        </w:rPr>
      </w:pPr>
      <w:r>
        <w:rPr>
          <w:rFonts w:cs="Arial" w:ascii="Arial" w:hAnsi="Arial"/>
          <w:b/>
          <w:bCs/>
          <w:color w:val="0000FF"/>
          <w:sz w:val="20"/>
          <w:szCs w:val="20"/>
          <w:u w:val="none"/>
        </w:rPr>
        <w:t>2. podzemní podlaží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EW 30 DP1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( bez samozavírače viz čl. 5.5.8 ČSN 730810)</w:t>
      </w: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  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– m.č. -227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color w:val="0000FF"/>
          <w:sz w:val="20"/>
          <w:szCs w:val="20"/>
          <w:u w:val="none"/>
        </w:rPr>
      </w:pPr>
      <w:r>
        <w:rPr>
          <w:rFonts w:cs="Arial" w:ascii="Arial" w:hAnsi="Arial"/>
          <w:b/>
          <w:bCs/>
          <w:color w:val="0000FF"/>
          <w:sz w:val="20"/>
          <w:szCs w:val="20"/>
          <w:u w:val="none"/>
        </w:rPr>
        <w:t>1. podzemní podlaží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EW 60 DP1 + C2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 xml:space="preserve"> – do archivu u m.č. -112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EW 30 DP1 + C2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 xml:space="preserve"> – do skladu odpadků, m.č. -110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EW 30 DP1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– do  výtahu</w:t>
      </w:r>
    </w:p>
    <w:p>
      <w:pPr>
        <w:pStyle w:val="Normal"/>
        <w:bidi w:val="0"/>
        <w:jc w:val="left"/>
        <w:rPr>
          <w:highlight w:val="yellow"/>
          <w:u w:val="none"/>
        </w:rPr>
      </w:pPr>
      <w:r>
        <w:rPr>
          <w:highlight w:val="yellow"/>
          <w:u w:val="none"/>
        </w:rPr>
      </w:r>
    </w:p>
    <w:p>
      <w:pPr>
        <w:pStyle w:val="TextBodyIndent"/>
        <w:bidi w:val="0"/>
        <w:ind w:left="0" w:right="0" w:hanging="0"/>
        <w:jc w:val="left"/>
        <w:rPr/>
      </w:pPr>
      <w:r>
        <w:rPr>
          <w:rFonts w:cs="Arial" w:ascii="Arial" w:hAnsi="Arial"/>
          <w:b/>
          <w:sz w:val="20"/>
          <w:szCs w:val="20"/>
          <w:u w:val="single"/>
        </w:rPr>
        <w:t xml:space="preserve">Případné prostupy  požárně dělícími konstrukcemi </w:t>
      </w:r>
      <w:r>
        <w:rPr>
          <w:rFonts w:cs="Arial" w:ascii="Arial" w:hAnsi="Arial"/>
          <w:b/>
          <w:sz w:val="20"/>
          <w:szCs w:val="20"/>
        </w:rPr>
        <w:t xml:space="preserve"> dle čl. 6.2 ČSN 730810</w:t>
      </w:r>
      <w:r>
        <w:rPr>
          <w:rFonts w:cs="Arial" w:ascii="Arial" w:hAnsi="Arial"/>
          <w:b/>
          <w:sz w:val="20"/>
          <w:szCs w:val="20"/>
          <w:u w:val="none"/>
        </w:rPr>
        <w:t xml:space="preserve"> </w:t>
      </w:r>
      <w:r>
        <w:rPr>
          <w:rFonts w:cs="Arial" w:ascii="Arial" w:hAnsi="Arial"/>
          <w:b/>
          <w:i w:val="false"/>
          <w:iCs w:val="false"/>
          <w:sz w:val="20"/>
          <w:szCs w:val="20"/>
          <w:u w:val="none"/>
        </w:rPr>
        <w:t xml:space="preserve"> z 07/2016.</w:t>
      </w:r>
    </w:p>
    <w:p>
      <w:pPr>
        <w:pStyle w:val="TextBodyIndent"/>
        <w:bidi w:val="0"/>
        <w:ind w:left="0" w:right="0" w:hanging="0"/>
        <w:jc w:val="left"/>
        <w:rPr>
          <w:rFonts w:ascii="Arial" w:hAnsi="Arial" w:cs="Arial"/>
          <w:b/>
          <w:b/>
          <w:bCs/>
          <w:sz w:val="20"/>
          <w:szCs w:val="20"/>
          <w:u w:val="single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</w:r>
    </w:p>
    <w:p>
      <w:pPr>
        <w:pStyle w:val="Normal"/>
        <w:bidi w:val="0"/>
        <w:spacing w:before="120" w:after="0"/>
        <w:jc w:val="both"/>
        <w:rPr>
          <w:rFonts w:ascii="Arial" w:hAnsi="Arial" w:cs="Arial"/>
          <w:b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  <w:t>F/ Zhodnocení  navržených stavebních  hmot ( třídy reakce  na  oheň, odkapávání v podmínkách  požáru, rychlost  šíření  plamene  po  povrchu, toxicita  zplodin  hoření apod.</w:t>
      </w:r>
    </w:p>
    <w:p>
      <w:pPr>
        <w:pStyle w:val="Normal"/>
        <w:tabs>
          <w:tab w:val="clear" w:pos="709"/>
          <w:tab w:val="left" w:pos="4776" w:leader="none"/>
        </w:tabs>
        <w:bidi w:val="0"/>
        <w:spacing w:lineRule="atLeast" w:line="240" w:before="120" w:after="0"/>
        <w:jc w:val="both"/>
        <w:rPr>
          <w:rFonts w:ascii="Arial" w:hAnsi="Arial" w:cs="Arial"/>
          <w:b w:val="false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Řešení dle vyhlášky 246/ 2001 Sb, § 41, odst. 2, písm.f </w:t>
      </w:r>
    </w:p>
    <w:p>
      <w:pPr>
        <w:pStyle w:val="Normal"/>
        <w:tabs>
          <w:tab w:val="clear" w:pos="709"/>
          <w:tab w:val="left" w:pos="4776" w:leader="none"/>
        </w:tabs>
        <w:bidi w:val="0"/>
        <w:spacing w:lineRule="atLeast" w:line="240" w:before="120" w:after="0"/>
        <w:jc w:val="both"/>
        <w:rPr>
          <w:rFonts w:ascii="Arial" w:hAnsi="Arial" w:cs="Arial"/>
          <w:b/>
          <w:b/>
          <w:color w:val="000000"/>
          <w:sz w:val="20"/>
          <w:szCs w:val="20"/>
          <w:u w:val="single"/>
        </w:rPr>
      </w:pPr>
      <w:r>
        <w:rPr>
          <w:rFonts w:cs="Arial" w:ascii="Arial" w:hAnsi="Arial"/>
          <w:b/>
          <w:color w:val="000000"/>
          <w:sz w:val="20"/>
          <w:szCs w:val="20"/>
          <w:u w:val="single"/>
        </w:rPr>
        <w:t>F.1 – zhodnocení konstrukcí  z hlediska hořlavosti</w:t>
      </w:r>
    </w:p>
    <w:p>
      <w:pPr>
        <w:pStyle w:val="TextBody"/>
        <w:tabs>
          <w:tab w:val="clear" w:pos="709"/>
          <w:tab w:val="left" w:pos="6615" w:leader="none"/>
        </w:tabs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Při stavebních úpravách  jsou navrženy  pouze  materiály třídy reakce na  oheň A1 a A2.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F.2. Povrchové úpravy konstrukcí</w:t>
      </w:r>
    </w:p>
    <w:p>
      <w:pPr>
        <w:pStyle w:val="Normal"/>
        <w:tabs>
          <w:tab w:val="clear" w:pos="709"/>
          <w:tab w:val="left" w:pos="6615" w:leader="none"/>
        </w:tabs>
        <w:bidi w:val="0"/>
        <w:jc w:val="left"/>
        <w:rPr>
          <w:rFonts w:ascii="Arial" w:hAnsi="Arial" w:cs="Arial"/>
          <w:b w:val="false"/>
          <w:b w:val="false"/>
          <w:bCs w:val="false"/>
          <w:sz w:val="20"/>
          <w:szCs w:val="20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0"/>
          <w:u w:val="none"/>
        </w:rPr>
        <w:t>Nejsou stanoveny  speciální požadavky  na  navrhované povrchové vrstvy.</w:t>
      </w:r>
    </w:p>
    <w:p>
      <w:pPr>
        <w:pStyle w:val="NadpisTabObr"/>
        <w:bidi w:val="0"/>
        <w:jc w:val="left"/>
        <w:rPr>
          <w:rFonts w:ascii="Arial" w:hAnsi="Arial" w:cs="Arial"/>
          <w:bCs/>
          <w:sz w:val="22"/>
          <w:szCs w:val="22"/>
          <w:u w:val="single"/>
        </w:rPr>
      </w:pPr>
      <w:r>
        <w:rPr>
          <w:rFonts w:cs="Arial" w:ascii="Arial" w:hAnsi="Arial"/>
          <w:bCs/>
          <w:sz w:val="22"/>
          <w:szCs w:val="22"/>
          <w:u w:val="single"/>
        </w:rPr>
      </w:r>
    </w:p>
    <w:p>
      <w:pPr>
        <w:pStyle w:val="Zvyrazni"/>
        <w:tabs>
          <w:tab w:val="clear" w:pos="709"/>
          <w:tab w:val="left" w:pos="6615" w:leader="none"/>
        </w:tabs>
        <w:bidi w:val="0"/>
        <w:spacing w:lineRule="atLeast" w:line="240" w:before="120" w:after="0"/>
        <w:jc w:val="left"/>
        <w:rPr>
          <w:sz w:val="22"/>
          <w:szCs w:val="22"/>
        </w:rPr>
      </w:pPr>
      <w:r>
        <w:rPr>
          <w:rFonts w:cs="Arial" w:ascii="Arial" w:hAnsi="Arial"/>
          <w:bCs/>
          <w:sz w:val="22"/>
          <w:szCs w:val="22"/>
          <w:u w:val="single"/>
        </w:rPr>
        <w:t>G/ zhodnocení mo</w:t>
      </w:r>
      <w:r>
        <w:rPr>
          <w:rFonts w:eastAsia="MS Mincho;ＭＳ 明朝" w:cs="Arial" w:ascii="Arial" w:hAnsi="Arial"/>
          <w:bCs/>
          <w:sz w:val="22"/>
          <w:szCs w:val="22"/>
          <w:u w:val="single"/>
        </w:rPr>
        <w:t>žnosti</w:t>
      </w:r>
      <w:r>
        <w:rPr>
          <w:rFonts w:cs="Arial" w:ascii="Arial" w:hAnsi="Arial"/>
          <w:bCs/>
          <w:sz w:val="22"/>
          <w:szCs w:val="22"/>
          <w:u w:val="single"/>
        </w:rPr>
        <w:t xml:space="preserve"> provedení požárního zásahu, evakuace osob, zvířat a majetku a stanovení druh</w:t>
      </w:r>
      <w:r>
        <w:rPr>
          <w:rFonts w:eastAsia="MS Mincho;ＭＳ 明朝" w:cs="Arial" w:ascii="Arial" w:hAnsi="Arial"/>
          <w:bCs/>
          <w:sz w:val="22"/>
          <w:szCs w:val="22"/>
          <w:u w:val="single"/>
        </w:rPr>
        <w:t>ů</w:t>
      </w:r>
      <w:r>
        <w:rPr>
          <w:rFonts w:cs="Arial" w:ascii="Arial" w:hAnsi="Arial"/>
          <w:bCs/>
          <w:sz w:val="22"/>
          <w:szCs w:val="22"/>
          <w:u w:val="single"/>
        </w:rPr>
        <w:t xml:space="preserve"> a počtu únikových cest, jejich kapacity, provedení a vybavení</w:t>
      </w:r>
    </w:p>
    <w:p>
      <w:pPr>
        <w:pStyle w:val="Normal"/>
        <w:tabs>
          <w:tab w:val="clear" w:pos="709"/>
          <w:tab w:val="left" w:pos="4776" w:leader="none"/>
        </w:tabs>
        <w:bidi w:val="0"/>
        <w:spacing w:lineRule="atLeast" w:line="240" w:before="120" w:after="0"/>
        <w:jc w:val="both"/>
        <w:rPr>
          <w:rFonts w:ascii="Arial" w:hAnsi="Arial" w:cs="Arial"/>
          <w:b w:val="false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Řešení dle vyhlášky 246/ 2001 Sb, § 41, odst. 2, písm.g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</w:pPr>
      <w:r>
        <w:rPr>
          <w:rFonts w:cs="Arial" w:ascii="Arial" w:hAnsi="Arial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  <w:t xml:space="preserve">Z prostor archivu je  únik zajištěn pouze  jedním směrem na stávající  schodiště  objektu, provozně  je  přístupný i  výtahem ze dvora. 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</w:pPr>
      <w:r>
        <w:rPr>
          <w:rFonts w:cs="Arial" w:ascii="Arial" w:hAnsi="Arial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  <w:t>Pro a = 0,7  je max. délka nechráněné únikové cesty stanovena  na 30m, což je splněno.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</w:pPr>
      <w:r>
        <w:rPr>
          <w:rFonts w:cs="Arial" w:ascii="Arial" w:hAnsi="Arial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  <w:t xml:space="preserve">V podstatě  se nejedná o trvalé, ale pouze občasné pracoviště. </w:t>
      </w:r>
    </w:p>
    <w:p>
      <w:pPr>
        <w:pStyle w:val="Normal"/>
        <w:tabs>
          <w:tab w:val="clear" w:pos="709"/>
          <w:tab w:val="left" w:pos="4776" w:leader="none"/>
        </w:tabs>
        <w:bidi w:val="0"/>
        <w:spacing w:lineRule="atLeast" w:line="240" w:before="120" w:after="0"/>
        <w:jc w:val="both"/>
        <w:rPr>
          <w:rFonts w:ascii="Arial" w:hAnsi="Arial" w:cs="Arial"/>
          <w:b w:val="false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</w:pPr>
      <w:r>
        <w:rPr>
          <w:rFonts w:cs="Arial" w:ascii="Arial" w:hAnsi="Arial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  <w:t xml:space="preserve">Únikové cesty  budou vybaveny  nouzovým osvětlením, svítidly s  vlastním zdrojem a budou náležitě označeny. </w:t>
      </w:r>
    </w:p>
    <w:p>
      <w:pPr>
        <w:pStyle w:val="Normal"/>
        <w:tabs>
          <w:tab w:val="clear" w:pos="709"/>
          <w:tab w:val="left" w:pos="4776" w:leader="none"/>
        </w:tabs>
        <w:bidi w:val="0"/>
        <w:spacing w:lineRule="atLeast" w:line="240" w:before="120" w:after="0"/>
        <w:jc w:val="both"/>
        <w:rPr>
          <w:rFonts w:ascii="Arial" w:hAnsi="Arial" w:cs="Arial"/>
          <w:b/>
          <w:b/>
          <w:bCs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</w:pPr>
      <w:r>
        <w:rPr>
          <w:rFonts w:cs="Arial" w:ascii="Arial" w:hAnsi="Arial"/>
          <w:b/>
          <w:bCs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</w:r>
    </w:p>
    <w:p>
      <w:pPr>
        <w:pStyle w:val="Normal"/>
        <w:tabs>
          <w:tab w:val="clear" w:pos="709"/>
          <w:tab w:val="left" w:pos="4776" w:leader="none"/>
        </w:tabs>
        <w:bidi w:val="0"/>
        <w:spacing w:lineRule="atLeast" w:line="240" w:before="120" w:after="0"/>
        <w:jc w:val="both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  <w:t>H/ stanovení odstupových, pop</w:t>
      </w:r>
      <w:r>
        <w:rPr>
          <w:rFonts w:eastAsia="MS Mincho;ＭＳ 明朝"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  <w:t>řípadě</w:t>
      </w:r>
      <w:r>
        <w:rPr>
          <w:rFonts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  <w:t xml:space="preserve"> bezpečnostních vzdáleností a vymezení požárně nebezpečného prostoru, zhodnocení odstupových, popřípadě bezpečnostních vzdáleností ve vztahu k okolní zástavb</w:t>
      </w:r>
      <w:r>
        <w:rPr>
          <w:rFonts w:eastAsia="MS Mincho;ＭＳ 明朝"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  <w:t>ě,</w:t>
      </w:r>
      <w:r>
        <w:rPr>
          <w:rFonts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  <w:t xml:space="preserve"> sousedním pozemkům a volným skladům,</w:t>
      </w:r>
    </w:p>
    <w:p>
      <w:pPr>
        <w:pStyle w:val="Normal"/>
        <w:tabs>
          <w:tab w:val="clear" w:pos="709"/>
          <w:tab w:val="left" w:pos="4776" w:leader="none"/>
        </w:tabs>
        <w:bidi w:val="0"/>
        <w:spacing w:lineRule="atLeast" w:line="240" w:before="120" w:after="0"/>
        <w:jc w:val="both"/>
        <w:rPr>
          <w:rFonts w:ascii="Arial" w:hAnsi="Arial" w:cs="Arial"/>
          <w:b w:val="false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Řešení dle vyhlášky 246/ 2001 Sb, § 41, odst. 2, písm.h </w:t>
      </w:r>
    </w:p>
    <w:p>
      <w:pPr>
        <w:pStyle w:val="Normln"/>
        <w:bidi w:val="0"/>
        <w:jc w:val="both"/>
        <w:rPr>
          <w:b w:val="false"/>
          <w:b w:val="false"/>
          <w:bCs w:val="false"/>
          <w:color w:val="000000"/>
          <w:sz w:val="20"/>
          <w:szCs w:val="20"/>
        </w:rPr>
      </w:pPr>
      <w:r>
        <w:rPr>
          <w:b w:val="false"/>
          <w:bCs w:val="false"/>
          <w:color w:val="000000"/>
          <w:sz w:val="20"/>
          <w:szCs w:val="20"/>
        </w:rPr>
      </w:r>
    </w:p>
    <w:p>
      <w:pPr>
        <w:pStyle w:val="Normln"/>
        <w:bidi w:val="0"/>
        <w:jc w:val="both"/>
        <w:rPr>
          <w:b w:val="false"/>
          <w:b w:val="false"/>
          <w:bCs w:val="false"/>
          <w:color w:val="000000"/>
          <w:sz w:val="20"/>
          <w:szCs w:val="20"/>
        </w:rPr>
      </w:pPr>
      <w:r>
        <w:rPr>
          <w:b w:val="false"/>
          <w:bCs w:val="false"/>
          <w:color w:val="000000"/>
          <w:sz w:val="20"/>
          <w:szCs w:val="20"/>
        </w:rPr>
        <w:t>Pro dané prostory se odstupové vzdálenosti nestanoví.</w:t>
      </w:r>
    </w:p>
    <w:p>
      <w:pPr>
        <w:pStyle w:val="Normln"/>
        <w:bidi w:val="0"/>
        <w:jc w:val="both"/>
        <w:rPr>
          <w:b/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  <w:u w:val="single"/>
        </w:rPr>
        <w:t>I /ur</w:t>
      </w:r>
      <w:r>
        <w:rPr>
          <w:rFonts w:eastAsia="MS Mincho;ＭＳ 明朝"/>
          <w:b/>
          <w:bCs/>
          <w:sz w:val="20"/>
          <w:szCs w:val="20"/>
          <w:u w:val="single"/>
        </w:rPr>
        <w:t>čení</w:t>
      </w:r>
      <w:r>
        <w:rPr>
          <w:b/>
          <w:bCs/>
          <w:sz w:val="20"/>
          <w:szCs w:val="20"/>
          <w:u w:val="single"/>
        </w:rPr>
        <w:t xml:space="preserve"> způsobu zabezpečení stavby požární vodou včetně rozmístění vnitřních a vnějších odběrních míst, popřípadě způsobu zabezpečení jiných hasebních prostředků u staveb, kde nelze použít vodu jako hasební látku,</w:t>
      </w:r>
    </w:p>
    <w:p>
      <w:pPr>
        <w:pStyle w:val="Normal"/>
        <w:tabs>
          <w:tab w:val="clear" w:pos="709"/>
          <w:tab w:val="left" w:pos="4776" w:leader="none"/>
        </w:tabs>
        <w:bidi w:val="0"/>
        <w:spacing w:lineRule="atLeast" w:line="240" w:before="120" w:after="0"/>
        <w:jc w:val="both"/>
        <w:rPr>
          <w:rFonts w:ascii="Arial" w:hAnsi="Arial" w:cs="Arial"/>
          <w:b w:val="false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Řešení dle vyhlášky 246/ 2001 Sb, § 41, odst. 2, písm.i </w:t>
      </w:r>
    </w:p>
    <w:p>
      <w:pPr>
        <w:pStyle w:val="TextBody"/>
        <w:tabs>
          <w:tab w:val="clear" w:pos="709"/>
          <w:tab w:val="left" w:pos="7770" w:leader="none"/>
        </w:tabs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TextBody"/>
        <w:tabs>
          <w:tab w:val="clear" w:pos="709"/>
          <w:tab w:val="left" w:pos="7770" w:leader="none"/>
        </w:tabs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I.1. Vnitřní odběrná místa požární vody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P 02.1 – je prostorem bez požárního rizika,</w:t>
      </w:r>
      <w:r>
        <w:rPr>
          <w:rFonts w:cs="Arial" w:ascii="Arial" w:hAnsi="Arial"/>
          <w:b w:val="false"/>
          <w:bCs w:val="false"/>
          <w:sz w:val="20"/>
          <w:szCs w:val="20"/>
        </w:rPr>
        <w:t xml:space="preserve"> vnitřní hydrantový systém </w:t>
      </w:r>
      <w:r>
        <w:rPr>
          <w:rFonts w:cs="Arial" w:ascii="Arial" w:hAnsi="Arial"/>
          <w:b/>
          <w:bCs/>
          <w:sz w:val="20"/>
          <w:szCs w:val="20"/>
          <w:u w:val="single"/>
        </w:rPr>
        <w:t>se nenavrhuje</w:t>
      </w:r>
      <w:r>
        <w:rPr>
          <w:rFonts w:cs="Arial" w:ascii="Arial" w:hAnsi="Arial"/>
          <w:b w:val="false"/>
          <w:bCs w:val="false"/>
          <w:sz w:val="20"/>
          <w:szCs w:val="20"/>
        </w:rPr>
        <w:t xml:space="preserve">. 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P 01.1- sklad odpadů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 xml:space="preserve">Součin p x S = 60 x 28,8 = 1728&lt; 9000, pak dle čl.4.4b ČSN 730873 </w:t>
      </w:r>
      <w:r>
        <w:rPr>
          <w:rFonts w:cs="Arial" w:ascii="Arial" w:hAnsi="Arial"/>
          <w:b/>
          <w:bCs/>
          <w:sz w:val="20"/>
          <w:szCs w:val="20"/>
          <w:u w:val="single"/>
        </w:rPr>
        <w:t>nebude</w:t>
      </w:r>
      <w:r>
        <w:rPr>
          <w:rFonts w:cs="Arial" w:ascii="Arial" w:hAnsi="Arial"/>
          <w:b/>
          <w:bCs/>
          <w:sz w:val="20"/>
          <w:szCs w:val="20"/>
        </w:rPr>
        <w:t xml:space="preserve"> prostor vybaven hydrantovým systémem. 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P 01.2- archiv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  <w:sz w:val="20"/>
          <w:szCs w:val="20"/>
          <w:highlight w:val="cyan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 xml:space="preserve">Součin p x S = 120 x 139,6 = 16 752 &gt;&gt;&gt; 9000, pak dle čl.4.4b ČSN 730873 </w:t>
      </w:r>
      <w:r>
        <w:rPr>
          <w:rFonts w:cs="Arial" w:ascii="Arial" w:hAnsi="Arial"/>
          <w:b/>
          <w:bCs/>
          <w:sz w:val="20"/>
          <w:szCs w:val="20"/>
          <w:highlight w:val="lightGray"/>
          <w:u w:val="single"/>
        </w:rPr>
        <w:t xml:space="preserve">bude archiv vybaven </w:t>
      </w:r>
      <w:r>
        <w:rPr>
          <w:rFonts w:cs="Arial" w:ascii="Arial" w:hAnsi="Arial"/>
          <w:b/>
          <w:bCs/>
          <w:sz w:val="20"/>
          <w:szCs w:val="20"/>
          <w:highlight w:val="lightGray"/>
        </w:rPr>
        <w:t xml:space="preserve">hydrantovým systémem D 25 ( Q &gt; 1,1 l/s)  s délkou hadice min. 20 m. </w:t>
      </w:r>
    </w:p>
    <w:p>
      <w:pPr>
        <w:pStyle w:val="TextBody"/>
        <w:bidi w:val="0"/>
        <w:jc w:val="left"/>
        <w:rPr>
          <w:rFonts w:ascii="Arial" w:hAnsi="Arial" w:cs="Arial"/>
          <w:color w:val="000000"/>
          <w:sz w:val="20"/>
          <w:szCs w:val="20"/>
          <w:highlight w:val="cyan"/>
        </w:rPr>
      </w:pPr>
      <w:r>
        <w:rPr>
          <w:rFonts w:cs="Arial" w:ascii="Arial" w:hAnsi="Arial"/>
          <w:color w:val="000000"/>
          <w:sz w:val="20"/>
          <w:szCs w:val="20"/>
          <w:highlight w:val="cyan"/>
        </w:rPr>
      </w:r>
    </w:p>
    <w:p>
      <w:pPr>
        <w:pStyle w:val="TextBody"/>
        <w:bidi w:val="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Vnitřní rozvod je nadimenzován tak, že na nejnepříznivěji položeném přítokovém ventilu nebo kohoutu hadicového systému je min.  Q = 1,1 l/s viz ČSN 730873 z 06/ 2003.</w:t>
      </w:r>
    </w:p>
    <w:p>
      <w:pPr>
        <w:pStyle w:val="ZkladntextIMP"/>
        <w:bidi w:val="0"/>
        <w:jc w:val="left"/>
        <w:rPr>
          <w:rFonts w:ascii="Arial" w:hAnsi="Arial" w:cs="Arial"/>
          <w:color w:val="000000"/>
          <w:sz w:val="20"/>
        </w:rPr>
      </w:pPr>
      <w:r>
        <w:rPr>
          <w:rFonts w:cs="Arial" w:ascii="Arial" w:hAnsi="Arial"/>
          <w:color w:val="000000"/>
          <w:sz w:val="20"/>
        </w:rPr>
        <w:t>Přetlak  na hydrantech je minimálně 0,2 MPa .</w:t>
      </w:r>
    </w:p>
    <w:p>
      <w:pPr>
        <w:pStyle w:val="ZkladntextIMP"/>
        <w:bidi w:val="0"/>
        <w:jc w:val="left"/>
        <w:rPr>
          <w:rFonts w:ascii="Arial" w:hAnsi="Arial" w:cs="Arial"/>
          <w:color w:val="000000"/>
          <w:sz w:val="20"/>
        </w:rPr>
      </w:pPr>
      <w:r>
        <w:rPr>
          <w:rFonts w:cs="Arial" w:ascii="Arial" w:hAnsi="Arial"/>
          <w:color w:val="000000"/>
          <w:sz w:val="20"/>
        </w:rPr>
      </w:r>
    </w:p>
    <w:p>
      <w:pPr>
        <w:pStyle w:val="ZkladntextIMP"/>
        <w:bidi w:val="0"/>
        <w:jc w:val="left"/>
        <w:rPr>
          <w:rFonts w:ascii="Arial" w:hAnsi="Arial" w:cs="Arial"/>
          <w:color w:val="000000"/>
          <w:sz w:val="20"/>
        </w:rPr>
      </w:pPr>
      <w:r>
        <w:rPr>
          <w:rFonts w:cs="Arial" w:ascii="Arial" w:hAnsi="Arial"/>
          <w:color w:val="000000"/>
          <w:sz w:val="20"/>
        </w:rPr>
        <w:t>Nejodlehlejší místo požárního úseku může být od vnitřního odběrního místa vzdáleno nejvýše 30 m u tvarově stálých hadic ( 20 m hadice + 10 m dostřik), což je v daném případě splněno.</w:t>
      </w:r>
    </w:p>
    <w:p>
      <w:pPr>
        <w:pStyle w:val="ZkladntextIMP"/>
        <w:bidi w:val="0"/>
        <w:jc w:val="left"/>
        <w:rPr>
          <w:rFonts w:ascii="Arial" w:hAnsi="Arial" w:cs="Arial"/>
          <w:color w:val="000000"/>
          <w:sz w:val="20"/>
        </w:rPr>
      </w:pPr>
      <w:r>
        <w:rPr>
          <w:rFonts w:cs="Arial" w:ascii="Arial" w:hAnsi="Arial"/>
          <w:color w:val="000000"/>
          <w:sz w:val="20"/>
        </w:rPr>
        <w:t>V každém místě požárního úseku se počítá se zásahem jedním proudem vody.</w:t>
      </w:r>
    </w:p>
    <w:p>
      <w:pPr>
        <w:pStyle w:val="ZkladntextIMP"/>
        <w:bidi w:val="0"/>
        <w:jc w:val="left"/>
        <w:rPr>
          <w:rFonts w:ascii="Arial" w:hAnsi="Arial" w:cs="Arial"/>
          <w:color w:val="000000"/>
          <w:sz w:val="20"/>
        </w:rPr>
      </w:pPr>
      <w:r>
        <w:rPr>
          <w:rFonts w:cs="Arial" w:ascii="Arial" w:hAnsi="Arial"/>
          <w:color w:val="000000"/>
          <w:sz w:val="20"/>
        </w:rPr>
        <w:t>Hadicové systémy se osazují 1,1 – 1,3 m nad podlahou ( měřeno ke středu zařízení).</w:t>
      </w:r>
    </w:p>
    <w:p>
      <w:pPr>
        <w:pStyle w:val="ZkladntextIMP"/>
        <w:bidi w:val="0"/>
        <w:jc w:val="left"/>
        <w:rPr>
          <w:rFonts w:ascii="Arial" w:hAnsi="Arial" w:cs="Arial"/>
          <w:color w:val="000000"/>
          <w:sz w:val="20"/>
        </w:rPr>
      </w:pPr>
      <w:r>
        <w:rPr>
          <w:rFonts w:cs="Arial" w:ascii="Arial" w:hAnsi="Arial"/>
          <w:color w:val="000000"/>
          <w:sz w:val="20"/>
        </w:rPr>
        <w:t>Hadicové systémy jsou trvale pod tlakem s okamžitě dostupnou dodávkou vody.</w:t>
      </w:r>
    </w:p>
    <w:p>
      <w:pPr>
        <w:pStyle w:val="ZkladntextIMP"/>
        <w:bidi w:val="0"/>
        <w:jc w:val="left"/>
        <w:rPr>
          <w:rFonts w:ascii="Arial" w:hAnsi="Arial" w:cs="Arial"/>
          <w:b/>
          <w:b/>
          <w:bCs/>
          <w:color w:val="000000"/>
          <w:sz w:val="20"/>
        </w:rPr>
      </w:pPr>
      <w:r>
        <w:rPr>
          <w:rFonts w:cs="Arial" w:ascii="Arial" w:hAnsi="Arial"/>
          <w:b/>
          <w:bCs/>
          <w:color w:val="000000"/>
          <w:sz w:val="20"/>
        </w:rPr>
      </w:r>
    </w:p>
    <w:p>
      <w:pPr>
        <w:pStyle w:val="ZkladntextIMP"/>
        <w:bidi w:val="0"/>
        <w:jc w:val="left"/>
        <w:rPr>
          <w:rFonts w:ascii="Arial" w:hAnsi="Arial" w:cs="Arial"/>
          <w:b/>
          <w:b/>
          <w:bCs/>
          <w:color w:val="000000"/>
          <w:sz w:val="20"/>
        </w:rPr>
      </w:pPr>
      <w:r>
        <w:rPr>
          <w:rFonts w:cs="Arial" w:ascii="Arial" w:hAnsi="Arial"/>
          <w:b/>
          <w:bCs/>
          <w:color w:val="000000"/>
          <w:sz w:val="20"/>
        </w:rPr>
        <w:t>Dle  čl. 6.9  ČSN 730873 :</w:t>
      </w:r>
    </w:p>
    <w:p>
      <w:pPr>
        <w:pStyle w:val="ZkladntextIMP"/>
        <w:bidi w:val="0"/>
        <w:jc w:val="left"/>
        <w:rPr>
          <w:rFonts w:ascii="Arial" w:hAnsi="Arial" w:cs="Arial"/>
          <w:color w:val="000000"/>
          <w:sz w:val="20"/>
        </w:rPr>
      </w:pPr>
      <w:r>
        <w:rPr>
          <w:rFonts w:cs="Arial" w:ascii="Arial" w:hAnsi="Arial"/>
          <w:color w:val="000000"/>
          <w:sz w:val="20"/>
        </w:rPr>
        <w:t xml:space="preserve">Rozvodná potrubí  k dodávce vody do  hadicových  systémů mohou být provedena  i z hořlavých  hmot a  pokud jsou trvale  zavodněna, mohou volně bez další ochrany  procházet  též  prostory s  požárním  rizikem. </w:t>
      </w:r>
    </w:p>
    <w:p>
      <w:pPr>
        <w:pStyle w:val="ZkladntextIMP"/>
        <w:tabs>
          <w:tab w:val="clear" w:pos="709"/>
          <w:tab w:val="left" w:pos="7770" w:leader="none"/>
        </w:tabs>
        <w:bidi w:val="0"/>
        <w:spacing w:before="0" w:after="120"/>
        <w:jc w:val="left"/>
        <w:rPr>
          <w:rFonts w:ascii="Arial" w:hAnsi="Arial" w:eastAsia="Segoe UI" w:cs="Arial"/>
          <w:b w:val="false"/>
          <w:b w:val="false"/>
          <w:bCs w:val="false"/>
          <w:color w:val="000000"/>
          <w:sz w:val="20"/>
          <w:szCs w:val="20"/>
          <w:lang w:eastAsia="he-IL" w:bidi="he-IL"/>
        </w:rPr>
      </w:pPr>
      <w:r>
        <w:rPr>
          <w:rFonts w:eastAsia="Segoe UI" w:cs="Arial" w:ascii="Arial" w:hAnsi="Arial"/>
          <w:b w:val="false"/>
          <w:bCs w:val="false"/>
          <w:color w:val="000000"/>
          <w:sz w:val="20"/>
          <w:szCs w:val="20"/>
          <w:lang w:eastAsia="he-IL" w:bidi="he-IL"/>
        </w:rPr>
        <w:t>Dojezd  jednotek  musí být  zajištěn  do  15  minut, což je splněno – viz dále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color w:val="00000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I.2. Vnější požární voda –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je zajištěna  ze  stávajících rozvodů vody  v přilehlých  ulicích.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 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sz w:val="20"/>
          <w:szCs w:val="20"/>
          <w:highlight w:val="cyan"/>
        </w:rPr>
      </w:pPr>
      <w:r>
        <w:rPr>
          <w:rFonts w:cs="Arial" w:ascii="Arial" w:hAnsi="Arial"/>
          <w:b/>
          <w:bCs/>
          <w:sz w:val="20"/>
          <w:szCs w:val="20"/>
          <w:highlight w:val="cyan"/>
        </w:rPr>
      </w:r>
    </w:p>
    <w:p>
      <w:pPr>
        <w:pStyle w:val="Normln"/>
        <w:bidi w:val="0"/>
        <w:jc w:val="both"/>
        <w:rPr/>
      </w:pPr>
      <w:r>
        <w:rPr>
          <w:b/>
          <w:bCs/>
          <w:sz w:val="20"/>
          <w:szCs w:val="20"/>
          <w:u w:val="single"/>
        </w:rPr>
        <w:t>J/ vymezení zásahových cest a jejich technického vybavení, opat</w:t>
      </w:r>
      <w:r>
        <w:rPr>
          <w:rFonts w:eastAsia="MS Mincho"/>
          <w:b/>
          <w:bCs/>
          <w:sz w:val="20"/>
          <w:szCs w:val="20"/>
          <w:u w:val="single"/>
        </w:rPr>
        <w:t>ření</w:t>
      </w:r>
      <w:r>
        <w:rPr>
          <w:b/>
          <w:bCs/>
          <w:sz w:val="20"/>
          <w:szCs w:val="20"/>
          <w:u w:val="single"/>
        </w:rPr>
        <w:t xml:space="preserve"> k zajištění bezpečnosti osob provádějících hašení požáru a záchranné práce, zhodnocení příjezdových komunikací, popřípadě nástupních ploch pro požární techniku,</w:t>
      </w:r>
    </w:p>
    <w:p>
      <w:pPr>
        <w:pStyle w:val="Normal"/>
        <w:bidi w:val="0"/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Řešení dle vyhlášky 246/ 2001 Sb, § 41, odst. 2, písm.j</w:t>
      </w:r>
    </w:p>
    <w:p>
      <w:pPr>
        <w:pStyle w:val="Normal"/>
        <w:bidi w:val="0"/>
        <w:spacing w:before="120" w:after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before="120" w:after="0"/>
        <w:jc w:val="left"/>
        <w:rPr/>
      </w:pPr>
      <w:r>
        <w:rPr>
          <w:rFonts w:cs="Arial" w:ascii="Arial" w:hAnsi="Arial"/>
          <w:b/>
          <w:sz w:val="20"/>
          <w:szCs w:val="20"/>
        </w:rPr>
        <w:t>J.1. Příjezd</w:t>
      </w:r>
      <w:r>
        <w:rPr>
          <w:rFonts w:cs="Arial" w:ascii="Arial" w:hAnsi="Arial"/>
          <w:sz w:val="20"/>
          <w:szCs w:val="20"/>
        </w:rPr>
        <w:t xml:space="preserve"> k objektu je zajištěn po stávajících  komunikacích ulicí Štefánikovou až  ke vstupu  do  objektu.                                                                                                                                                                   </w:t>
      </w:r>
    </w:p>
    <w:p>
      <w:pPr>
        <w:pStyle w:val="Normal"/>
        <w:bidi w:val="0"/>
        <w:spacing w:before="120" w:after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 xml:space="preserve">J.2. Nástupní plocha </w:t>
      </w:r>
      <w:r>
        <w:rPr>
          <w:rFonts w:cs="Arial" w:ascii="Arial" w:hAnsi="Arial"/>
          <w:b w:val="false"/>
          <w:bCs w:val="false"/>
          <w:sz w:val="20"/>
          <w:szCs w:val="20"/>
        </w:rPr>
        <w:t>pro dané prostory není požadována.</w:t>
      </w:r>
    </w:p>
    <w:p>
      <w:pPr>
        <w:pStyle w:val="Normal"/>
        <w:bidi w:val="0"/>
        <w:spacing w:before="120" w:after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</w:r>
    </w:p>
    <w:p>
      <w:pPr>
        <w:pStyle w:val="Normln"/>
        <w:tabs>
          <w:tab w:val="clear" w:pos="709"/>
          <w:tab w:val="left" w:pos="0" w:leader="none"/>
        </w:tabs>
        <w:bidi w:val="0"/>
        <w:spacing w:lineRule="atLeast" w:line="240"/>
        <w:jc w:val="both"/>
        <w:rPr/>
      </w:pPr>
      <w:r>
        <w:rPr>
          <w:b/>
          <w:bCs/>
          <w:color w:val="000000"/>
          <w:sz w:val="20"/>
          <w:szCs w:val="20"/>
          <w:u w:val="single"/>
        </w:rPr>
        <w:t>K/  stanovení po</w:t>
      </w:r>
      <w:r>
        <w:rPr>
          <w:rFonts w:eastAsia="MS Mincho"/>
          <w:b/>
          <w:bCs/>
          <w:color w:val="000000"/>
          <w:sz w:val="20"/>
          <w:szCs w:val="20"/>
          <w:u w:val="single"/>
        </w:rPr>
        <w:t>čtu,</w:t>
      </w:r>
      <w:r>
        <w:rPr>
          <w:b/>
          <w:bCs/>
          <w:color w:val="000000"/>
          <w:sz w:val="20"/>
          <w:szCs w:val="20"/>
          <w:u w:val="single"/>
        </w:rPr>
        <w:t xml:space="preserve"> druhů a způsobu rozmístění hasicích přístrojů, popřípadě dalších věcných prostředků požární ochrany nebo požární techniky,</w:t>
      </w:r>
    </w:p>
    <w:p>
      <w:pPr>
        <w:pStyle w:val="Normal"/>
        <w:bidi w:val="0"/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Řešení dle vyhlášky 246/ 2001 Sb, § 41, odst. 2, písm.k</w:t>
      </w:r>
    </w:p>
    <w:p>
      <w:pPr>
        <w:pStyle w:val="Normal"/>
        <w:numPr>
          <w:ilvl w:val="0"/>
          <w:numId w:val="0"/>
        </w:numPr>
        <w:bidi w:val="0"/>
        <w:ind w:left="540" w:hanging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Hasicí přístroj musí mít rukověť nejvýše 1,5 m nad podlahou a při umístění na zemi musí být zajištěn proti pádu podle vyhl. č.  246/2001, §3, odst. 4. PHP musí být pravidelně kontrolovány 1x ročně v souladu s vyhl. č. 246/2001, §7, odst. 4 a §9, odst. 2.</w:t>
      </w:r>
    </w:p>
    <w:p>
      <w:pPr>
        <w:pStyle w:val="Normal"/>
        <w:bidi w:val="0"/>
        <w:spacing w:lineRule="atLeast" w:line="24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spacing w:lineRule="atLeast" w:line="24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spacing w:lineRule="atLeast" w:line="24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K hasicím přístrojům musí být udržován volný přístup podle požadavku vyhl. č. 23/2008 Sb., příloha č. 6, část C.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Třídy požárů jsou stanoveny podle ČSN EN, čl. 2: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Třída A … požáry pevných látek zejména organického původu, jejichž hoření je obvykle provázeno žhnutím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Třída B … požáry kapalin nebo látek přecházejících do hořlavého stavu 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Třída C … požáry plynů                                                                                                                                                             Třída D … požáry kovů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Počet PHP dle ČSN 730802</w:t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b/>
          <w:sz w:val="20"/>
          <w:szCs w:val="20"/>
        </w:rPr>
        <w:t>n</w:t>
      </w:r>
      <w:r>
        <w:rPr>
          <w:rFonts w:cs="Arial" w:ascii="Arial" w:hAnsi="Arial"/>
          <w:b/>
          <w:sz w:val="20"/>
          <w:szCs w:val="20"/>
          <w:vertAlign w:val="subscript"/>
        </w:rPr>
        <w:t>r</w:t>
      </w:r>
      <w:r>
        <w:rPr>
          <w:rFonts w:cs="Arial" w:ascii="Arial" w:hAnsi="Arial"/>
          <w:b/>
          <w:sz w:val="20"/>
          <w:szCs w:val="20"/>
        </w:rPr>
        <w:t xml:space="preserve"> = 0,15 ( S x a  x c</w:t>
      </w:r>
      <w:r>
        <w:rPr>
          <w:rFonts w:cs="Arial" w:ascii="Arial" w:hAnsi="Arial"/>
          <w:b/>
          <w:sz w:val="20"/>
          <w:szCs w:val="20"/>
          <w:vertAlign w:val="subscript"/>
        </w:rPr>
        <w:t>3</w:t>
      </w:r>
      <w:r>
        <w:rPr>
          <w:rFonts w:cs="Arial" w:ascii="Arial" w:hAnsi="Arial"/>
          <w:b/>
          <w:sz w:val="20"/>
          <w:szCs w:val="20"/>
        </w:rPr>
        <w:t xml:space="preserve"> )</w:t>
      </w:r>
      <w:r>
        <w:rPr>
          <w:rFonts w:cs="Arial" w:ascii="Arial" w:hAnsi="Arial"/>
          <w:b/>
          <w:sz w:val="20"/>
          <w:szCs w:val="20"/>
          <w:vertAlign w:val="superscript"/>
        </w:rPr>
        <w:t>0,5</w:t>
      </w:r>
      <w:r>
        <w:rPr>
          <w:rFonts w:cs="Arial" w:ascii="Arial" w:hAnsi="Arial"/>
          <w:b/>
          <w:sz w:val="20"/>
          <w:szCs w:val="20"/>
        </w:rPr>
        <w:t xml:space="preserve"> =</w:t>
      </w:r>
    </w:p>
    <w:p>
      <w:pPr>
        <w:pStyle w:val="Normal"/>
        <w:tabs>
          <w:tab w:val="clear" w:pos="709"/>
          <w:tab w:val="left" w:pos="0" w:leader="none"/>
        </w:tabs>
        <w:bidi w:val="0"/>
        <w:spacing w:before="120" w:after="0"/>
        <w:jc w:val="left"/>
        <w:rPr/>
      </w:pPr>
      <w:r>
        <w:rPr>
          <w:rFonts w:cs="Arial" w:ascii="Arial" w:hAnsi="Arial"/>
          <w:sz w:val="20"/>
          <w:szCs w:val="20"/>
        </w:rPr>
        <w:t xml:space="preserve">Počet PHP </w:t>
      </w:r>
      <w:r>
        <w:rPr>
          <w:rFonts w:cs="Arial" w:ascii="Arial" w:hAnsi="Arial"/>
          <w:color w:val="000000"/>
          <w:sz w:val="20"/>
          <w:szCs w:val="20"/>
        </w:rPr>
        <w:t xml:space="preserve">ve smyslu přílohy 4, vyhl. č. 23/2008 Sb.                                                                                                        </w:t>
      </w:r>
      <w:r>
        <w:rPr>
          <w:rFonts w:cs="Arial" w:ascii="Arial" w:hAnsi="Arial"/>
          <w:b/>
          <w:bCs/>
          <w:color w:val="000000"/>
          <w:sz w:val="20"/>
          <w:szCs w:val="20"/>
        </w:rPr>
        <w:t>n</w:t>
      </w:r>
      <w:r>
        <w:rPr>
          <w:rFonts w:cs="Arial" w:ascii="Arial" w:hAnsi="Arial"/>
          <w:b/>
          <w:bCs/>
          <w:color w:val="000000"/>
          <w:sz w:val="20"/>
          <w:szCs w:val="20"/>
          <w:vertAlign w:val="subscript"/>
        </w:rPr>
        <w:t xml:space="preserve">HJ </w:t>
      </w: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 = 6 x n</w:t>
      </w:r>
      <w:r>
        <w:rPr>
          <w:rFonts w:cs="Arial" w:ascii="Arial" w:hAnsi="Arial"/>
          <w:b/>
          <w:bCs/>
          <w:color w:val="000000"/>
          <w:sz w:val="20"/>
          <w:szCs w:val="20"/>
          <w:vertAlign w:val="subscript"/>
        </w:rPr>
        <w:t xml:space="preserve">r </w:t>
      </w: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= </w:t>
      </w:r>
    </w:p>
    <w:p>
      <w:pPr>
        <w:pStyle w:val="Normal"/>
        <w:tabs>
          <w:tab w:val="clear" w:pos="709"/>
          <w:tab w:val="left" w:pos="360" w:leader="none"/>
        </w:tabs>
        <w:bidi w:val="0"/>
        <w:spacing w:before="120" w:after="0"/>
        <w:jc w:val="left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PG6.......hasící schopnost ….........21A + 113B.......................6  HJ</w:t>
      </w:r>
    </w:p>
    <w:p>
      <w:pPr>
        <w:pStyle w:val="Normal"/>
        <w:tabs>
          <w:tab w:val="clear" w:pos="709"/>
          <w:tab w:val="left" w:pos="360" w:leader="none"/>
        </w:tabs>
        <w:bidi w:val="0"/>
        <w:spacing w:before="120" w:after="0"/>
        <w:jc w:val="left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PG 10....hasící schopnost ….........34A + 183B......................10  HJ</w:t>
      </w:r>
    </w:p>
    <w:p>
      <w:pPr>
        <w:pStyle w:val="Normal"/>
        <w:tabs>
          <w:tab w:val="clear" w:pos="709"/>
          <w:tab w:val="left" w:pos="360" w:leader="none"/>
        </w:tabs>
        <w:bidi w:val="0"/>
        <w:spacing w:before="120" w:after="0"/>
        <w:jc w:val="left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S5..........hasící schopnost ….........13A +  55B.........................3  HJ</w:t>
      </w:r>
    </w:p>
    <w:p>
      <w:pPr>
        <w:pStyle w:val="Normal"/>
        <w:tabs>
          <w:tab w:val="clear" w:pos="709"/>
          <w:tab w:val="left" w:pos="360" w:leader="none"/>
        </w:tabs>
        <w:bidi w:val="0"/>
        <w:spacing w:lineRule="atLeast" w:line="240" w:before="120" w:after="0"/>
        <w:jc w:val="left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PR 6, PR 34 A..................................34A + 183B.......................10 HJ</w:t>
      </w:r>
    </w:p>
    <w:p>
      <w:pPr>
        <w:pStyle w:val="Normal"/>
        <w:tabs>
          <w:tab w:val="clear" w:pos="709"/>
          <w:tab w:val="left" w:pos="360" w:leader="none"/>
        </w:tabs>
        <w:bidi w:val="0"/>
        <w:spacing w:before="120" w:after="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Jsou navrženy PHP viz příloha 4 vyhl. č. 23/2008 Sb. PG - s práškem ABC nebo dle ČSN 38 9100.</w:t>
      </w:r>
    </w:p>
    <w:p>
      <w:pPr>
        <w:pStyle w:val="Normal"/>
        <w:tabs>
          <w:tab w:val="clear" w:pos="709"/>
          <w:tab w:val="center" w:pos="4536" w:leader="none"/>
        </w:tabs>
        <w:bidi w:val="0"/>
        <w:spacing w:lineRule="atLeast" w:line="240"/>
        <w:jc w:val="both"/>
        <w:rPr>
          <w:rFonts w:ascii="Arial" w:hAnsi="Arial" w:cs="Arial"/>
          <w:b/>
          <w:b/>
          <w:bCs/>
          <w:color w:val="0000FF"/>
          <w:sz w:val="20"/>
          <w:szCs w:val="20"/>
        </w:rPr>
      </w:pPr>
      <w:r>
        <w:rPr>
          <w:rFonts w:cs="Arial" w:ascii="Arial" w:hAnsi="Arial"/>
          <w:b/>
          <w:bCs/>
          <w:color w:val="0000FF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P 02.1 – je prostorem bez požárního rizika...bez požadavku na PHP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u w:val="none"/>
        </w:rPr>
        <w:t xml:space="preserve">P 01.1 – sklad odpadů, </w:t>
      </w:r>
      <w:r>
        <w:rPr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>m.č. -110, S = 28,8 m</w:t>
      </w:r>
      <w:r>
        <w:rPr>
          <w:b w:val="false"/>
          <w:bCs w:val="false"/>
          <w:color w:val="000000"/>
          <w:sz w:val="20"/>
          <w:szCs w:val="20"/>
          <w:u w:val="none"/>
          <w:vertAlign w:val="superscript"/>
        </w:rPr>
        <w:t>2.</w:t>
      </w:r>
      <w:r>
        <w:rPr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</w:rPr>
        <w:t>..........................................................</w:t>
      </w:r>
      <w:r>
        <w:rPr>
          <w:b/>
          <w:bCs/>
          <w:color w:val="000000"/>
          <w:position w:val="0"/>
          <w:sz w:val="20"/>
          <w:sz w:val="20"/>
          <w:szCs w:val="20"/>
          <w:u w:val="none"/>
          <w:vertAlign w:val="baseline"/>
        </w:rPr>
        <w:t>1 ks PG6</w:t>
      </w:r>
    </w:p>
    <w:p>
      <w:pPr>
        <w:pStyle w:val="Normln"/>
        <w:tabs>
          <w:tab w:val="clear" w:pos="709"/>
          <w:tab w:val="left" w:pos="5616" w:leader="none"/>
        </w:tabs>
        <w:bidi w:val="0"/>
        <w:spacing w:before="120" w:after="0"/>
        <w:jc w:val="left"/>
        <w:rPr>
          <w:b/>
          <w:b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u w:val="none"/>
        </w:rPr>
        <w:t>P 01.2 – archiv,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 m.č. -114, S = 139,6 m</w:t>
      </w:r>
      <w:r>
        <w:rPr>
          <w:b w:val="false"/>
          <w:bCs w:val="false"/>
          <w:color w:val="000000"/>
          <w:sz w:val="20"/>
          <w:szCs w:val="20"/>
          <w:u w:val="none"/>
          <w:vertAlign w:val="superscript"/>
        </w:rPr>
        <w:t>2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 </w:t>
      </w:r>
      <w:r>
        <w:rPr>
          <w:b/>
          <w:bCs/>
          <w:color w:val="000000"/>
          <w:sz w:val="20"/>
          <w:szCs w:val="20"/>
          <w:u w:val="none"/>
        </w:rPr>
        <w:t xml:space="preserve"> …................................................................1 ks PR 6</w:t>
      </w:r>
    </w:p>
    <w:p>
      <w:pPr>
        <w:pStyle w:val="Normal"/>
        <w:bidi w:val="0"/>
        <w:spacing w:before="120" w:after="0"/>
        <w:jc w:val="left"/>
        <w:rPr>
          <w:b w:val="false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n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bscript"/>
        </w:rPr>
        <w:t>r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 = 0,15 ( S x a  x c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bscript"/>
        </w:rPr>
        <w:t>3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 )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perscript"/>
        </w:rPr>
        <w:t>0,5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 =0,15 ( 139,6 x 0,7  x 1)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perscript"/>
        </w:rPr>
        <w:t>0,5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 =1,48</w:t>
      </w:r>
    </w:p>
    <w:p>
      <w:pPr>
        <w:pStyle w:val="Normal"/>
        <w:tabs>
          <w:tab w:val="clear" w:pos="709"/>
          <w:tab w:val="left" w:pos="0" w:leader="none"/>
        </w:tabs>
        <w:bidi w:val="0"/>
        <w:spacing w:before="120" w:after="0"/>
        <w:jc w:val="left"/>
        <w:rPr>
          <w:b w:val="false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n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bscript"/>
        </w:rPr>
        <w:t xml:space="preserve">HJ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 = 6 x n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bscript"/>
        </w:rPr>
        <w:t xml:space="preserve">r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= 6 x 1,48 = 8,9</w:t>
      </w:r>
    </w:p>
    <w:p>
      <w:pPr>
        <w:pStyle w:val="Normln"/>
        <w:bidi w:val="0"/>
        <w:spacing w:before="120" w:after="0"/>
        <w:jc w:val="left"/>
        <w:rPr>
          <w:b/>
          <w:b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u w:val="none"/>
        </w:rPr>
        <w:t>P 01.3 – předsíň před  výtahem a hygienické zázemí,</w:t>
      </w:r>
      <w:r>
        <w:rPr>
          <w:b w:val="false"/>
          <w:bCs w:val="false"/>
          <w:color w:val="000000"/>
          <w:sz w:val="20"/>
          <w:szCs w:val="20"/>
          <w:u w:val="none"/>
        </w:rPr>
        <w:t xml:space="preserve"> m.č. -112,-113......................</w:t>
      </w:r>
      <w:r>
        <w:rPr>
          <w:b/>
          <w:bCs/>
          <w:color w:val="000000"/>
          <w:sz w:val="20"/>
          <w:szCs w:val="20"/>
          <w:u w:val="none"/>
        </w:rPr>
        <w:t>1 ks PG 6</w:t>
      </w:r>
    </w:p>
    <w:p>
      <w:pPr>
        <w:pStyle w:val="Normln"/>
        <w:bidi w:val="0"/>
        <w:spacing w:before="120" w:after="0"/>
        <w:jc w:val="left"/>
        <w:rPr>
          <w:b/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  <w:u w:val="none"/>
        </w:rPr>
        <w:t xml:space="preserve">N 1.1 – stávající strojovna  VZT,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m.č. 110; S = 16,4m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  <w:vertAlign w:val="superscript"/>
        </w:rPr>
        <w:t>2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 xml:space="preserve"> …..........................................</w:t>
      </w:r>
      <w:r>
        <w:rPr>
          <w:rFonts w:cs="Arial" w:ascii="Arial" w:hAnsi="Arial"/>
          <w:b/>
          <w:bCs/>
          <w:color w:val="000000"/>
          <w:sz w:val="20"/>
          <w:szCs w:val="20"/>
          <w:u w:val="none"/>
        </w:rPr>
        <w:t>1 ks PG 6</w:t>
      </w:r>
    </w:p>
    <w:p>
      <w:pPr>
        <w:pStyle w:val="Normal"/>
        <w:tabs>
          <w:tab w:val="clear" w:pos="709"/>
          <w:tab w:val="center" w:pos="4536" w:leader="none"/>
        </w:tabs>
        <w:bidi w:val="0"/>
        <w:spacing w:lineRule="atLeast" w:line="240"/>
        <w:jc w:val="both"/>
        <w:rPr>
          <w:rFonts w:ascii="Arial" w:hAnsi="Arial" w:cs="Arial"/>
          <w:b/>
          <w:b/>
          <w:bCs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</w:pPr>
      <w:r>
        <w:rPr>
          <w:rFonts w:cs="Arial" w:ascii="Arial" w:hAnsi="Arial"/>
          <w:b/>
          <w:bCs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</w:r>
    </w:p>
    <w:p>
      <w:pPr>
        <w:pStyle w:val="Normal"/>
        <w:tabs>
          <w:tab w:val="clear" w:pos="709"/>
          <w:tab w:val="center" w:pos="4536" w:leader="none"/>
        </w:tabs>
        <w:bidi w:val="0"/>
        <w:spacing w:lineRule="atLeast" w:line="240"/>
        <w:jc w:val="left"/>
        <w:rPr>
          <w:rFonts w:ascii="Arial" w:hAnsi="Arial" w:cs="Arial"/>
          <w:b/>
          <w:b/>
          <w:bCs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</w:pPr>
      <w:r>
        <w:rPr>
          <w:rFonts w:cs="Arial" w:ascii="Arial" w:hAnsi="Arial"/>
          <w:b/>
          <w:bCs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</w:r>
    </w:p>
    <w:p>
      <w:pPr>
        <w:pStyle w:val="Normal"/>
        <w:tabs>
          <w:tab w:val="clear" w:pos="709"/>
          <w:tab w:val="center" w:pos="4536" w:leader="none"/>
        </w:tabs>
        <w:bidi w:val="0"/>
        <w:spacing w:lineRule="atLeast" w:line="240"/>
        <w:jc w:val="left"/>
        <w:rPr>
          <w:rFonts w:ascii="Arial" w:hAnsi="Arial" w:cs="Arial"/>
          <w:b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</w:pPr>
      <w:r>
        <w:rPr>
          <w:rFonts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</w:r>
    </w:p>
    <w:p>
      <w:pPr>
        <w:pStyle w:val="Normal"/>
        <w:tabs>
          <w:tab w:val="clear" w:pos="709"/>
          <w:tab w:val="center" w:pos="4536" w:leader="none"/>
        </w:tabs>
        <w:bidi w:val="0"/>
        <w:spacing w:lineRule="atLeast" w:line="240"/>
        <w:jc w:val="left"/>
        <w:rPr>
          <w:rFonts w:ascii="Arial" w:hAnsi="Arial" w:cs="Arial"/>
          <w:b/>
          <w:b/>
          <w:bCs/>
          <w:sz w:val="20"/>
          <w:szCs w:val="20"/>
          <w:u w:val="single"/>
        </w:rPr>
      </w:pPr>
      <w:r>
        <w:rPr>
          <w:rFonts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  <w:t>L/ zhodnocení technických, pop</w:t>
      </w:r>
      <w:r>
        <w:rPr>
          <w:rFonts w:eastAsia="MS Mincho"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  <w:t>řípadě</w:t>
      </w:r>
      <w:r>
        <w:rPr>
          <w:rFonts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  <w:t xml:space="preserve"> technologických zařízení stavby (rozvodná potrubí, vzduchotechnická zařízení, vytápění apod.) z hlediska po</w:t>
      </w:r>
      <w:r>
        <w:rPr>
          <w:rFonts w:eastAsia="MS Mincho"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  <w:t>žadavků</w:t>
      </w:r>
      <w:r>
        <w:rPr>
          <w:rFonts w:cs="Arial" w:ascii="Arial" w:hAnsi="Arial"/>
          <w:b/>
          <w:bCs/>
          <w:color w:val="000000"/>
          <w:position w:val="0"/>
          <w:sz w:val="20"/>
          <w:sz w:val="20"/>
          <w:szCs w:val="20"/>
          <w:u w:val="single"/>
          <w:vertAlign w:val="baseline"/>
          <w:lang w:val="en"/>
        </w:rPr>
        <w:t xml:space="preserve"> požární bezpečnosti,                                  </w:t>
      </w:r>
      <w:r>
        <w:rPr>
          <w:rFonts w:cs="Arial" w:ascii="Arial" w:hAnsi="Arial"/>
          <w:b w:val="false"/>
          <w:bCs w:val="false"/>
          <w:color w:val="000000"/>
          <w:position w:val="0"/>
          <w:sz w:val="20"/>
          <w:sz w:val="20"/>
          <w:szCs w:val="20"/>
          <w:u w:val="none"/>
          <w:vertAlign w:val="baseline"/>
          <w:lang w:val="en"/>
        </w:rPr>
        <w:t>Řešení dle vyhlášky 246/ 2001 Sb, § 41, odst. 2, písm.l</w:t>
      </w:r>
    </w:p>
    <w:p>
      <w:pPr>
        <w:pStyle w:val="Normal"/>
        <w:bidi w:val="0"/>
        <w:jc w:val="left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L.1. Elektroinstalace</w:t>
      </w:r>
    </w:p>
    <w:p>
      <w:pPr>
        <w:pStyle w:val="TextBody"/>
        <w:bidi w:val="0"/>
        <w:spacing w:lineRule="atLeast" w:line="240" w:before="120" w:after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 xml:space="preserve">L.1a/ Silnoproud                                                                                                                                               </w:t>
      </w:r>
      <w:r>
        <w:rPr>
          <w:rFonts w:cs="Arial" w:ascii="Arial" w:hAnsi="Arial"/>
          <w:sz w:val="20"/>
          <w:szCs w:val="20"/>
        </w:rPr>
        <w:t xml:space="preserve">Elektroinstalace  je řešena dle daného druhu prostředí dle ČSN 33 2000 - 3, proti vlivu atmosferické elektřiny je objekt chráněn dle ČSN EN  62 505.  </w:t>
      </w:r>
      <w:r>
        <w:rPr>
          <w:rFonts w:cs="Arial" w:ascii="Arial" w:hAnsi="Arial"/>
          <w:sz w:val="20"/>
          <w:szCs w:val="20"/>
          <w:u w:val="single"/>
        </w:rPr>
        <w:t>veškeré ocelové konstrukce budou uzemněny.</w:t>
      </w:r>
    </w:p>
    <w:p>
      <w:pPr>
        <w:pStyle w:val="TextBody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Odsazen"/>
        <w:bidi w:val="0"/>
        <w:rPr/>
      </w:pPr>
      <w:r>
        <w:rPr>
          <w:rFonts w:cs="Arial" w:ascii="Arial" w:hAnsi="Arial"/>
          <w:b/>
          <w:bCs/>
          <w:sz w:val="20"/>
          <w:szCs w:val="20"/>
        </w:rPr>
        <w:t>Rozváděče el. energie se posuzují d</w:t>
      </w:r>
      <w:r>
        <w:rPr>
          <w:rFonts w:cs="Arial" w:ascii="Arial" w:hAnsi="Arial"/>
          <w:b/>
          <w:bCs/>
          <w:i w:val="false"/>
          <w:iCs w:val="false"/>
          <w:sz w:val="20"/>
          <w:szCs w:val="20"/>
        </w:rPr>
        <w:t xml:space="preserve">le čl. 5.6.1  </w:t>
      </w:r>
      <w:r>
        <w:rPr>
          <w:rFonts w:cs="Arial" w:ascii="Arial" w:hAnsi="Arial"/>
          <w:b/>
          <w:bCs/>
          <w:sz w:val="20"/>
          <w:szCs w:val="20"/>
        </w:rPr>
        <w:t xml:space="preserve">ČSN 730848, v rámci této PD  nejsou rozvaděče umísťovány  do  únikových  cest. </w:t>
      </w:r>
    </w:p>
    <w:p>
      <w:pPr>
        <w:pStyle w:val="Normal"/>
        <w:bidi w:val="0"/>
        <w:spacing w:lineRule="atLeast" w:line="240" w:before="120" w:after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Nouzové osvětlení</w:t>
      </w:r>
      <w:r>
        <w:rPr>
          <w:rFonts w:cs="Arial" w:ascii="Arial" w:hAnsi="Arial"/>
          <w:sz w:val="20"/>
          <w:szCs w:val="20"/>
        </w:rPr>
        <w:t xml:space="preserve"> se navrhuje podle ČSN EN 1838 ( svítí min. 60 minut) .</w:t>
      </w:r>
    </w:p>
    <w:p>
      <w:pPr>
        <w:pStyle w:val="Normal"/>
        <w:bidi w:val="0"/>
        <w:spacing w:lineRule="atLeast" w:line="240" w:before="120" w:after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Nouzové osvětlení musí zřetelně označovat směr do nejbližšího východu na volné prostranství.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Svítidla nouzového osvětlení budou umístěna alespoň 2 m nad podlahou, veškeré značky na únikových cestách musí být osvětleny.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Tam, kde není možný přímý pohled na únikový východ, musí být zajištěna osvětlená směrová značka, tak, aby se usnadnil postup směrem k  východu.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Zdůrazněná místa nouzovým osvětlením: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a/ každé dveře vedoucí  do únikových cest 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b/ bezpečnostní značky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c/ při každé změně směru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d/  v blízkosti východu na volné prostranství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e/ v blízkosti každého hasícího prostředku </w:t>
      </w:r>
    </w:p>
    <w:p>
      <w:pPr>
        <w:pStyle w:val="Normal"/>
        <w:bidi w:val="0"/>
        <w:spacing w:lineRule="atLeast" w:line="240" w:before="120" w:after="0"/>
        <w:jc w:val="left"/>
        <w:rPr>
          <w:rFonts w:ascii="Arial" w:hAnsi="Arial" w:cs="Arial"/>
          <w:b/>
          <w:b/>
          <w:bCs/>
          <w:sz w:val="20"/>
          <w:szCs w:val="20"/>
          <w:u w:val="single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</w:r>
    </w:p>
    <w:p>
      <w:pPr>
        <w:pStyle w:val="Odstavec"/>
        <w:bidi w:val="0"/>
        <w:ind w:left="0" w:right="0" w:hanging="0"/>
        <w:rPr>
          <w:rFonts w:ascii="Arial" w:hAnsi="Arial" w:cs="Arial"/>
          <w:b/>
          <w:b/>
          <w:bCs/>
          <w:sz w:val="20"/>
          <w:szCs w:val="20"/>
          <w:u w:val="single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  <w:t xml:space="preserve">L.2. Vytápění  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je zajištěno stávající.</w:t>
      </w:r>
    </w:p>
    <w:p>
      <w:pPr>
        <w:pStyle w:val="TextBody"/>
        <w:bidi w:val="0"/>
        <w:jc w:val="left"/>
        <w:rPr>
          <w:rFonts w:ascii="Arial" w:hAnsi="Arial" w:cs="Arial"/>
          <w:b/>
          <w:b/>
          <w:bCs/>
          <w:color w:val="000000"/>
          <w:sz w:val="20"/>
          <w:szCs w:val="20"/>
          <w:u w:val="single"/>
        </w:rPr>
      </w:pPr>
      <w:r>
        <w:rPr>
          <w:rFonts w:cs="Arial" w:ascii="Arial" w:hAnsi="Arial"/>
          <w:b/>
          <w:bCs/>
          <w:color w:val="000000"/>
          <w:sz w:val="20"/>
          <w:szCs w:val="20"/>
          <w:u w:val="single"/>
        </w:rPr>
        <w:t>L.3  Vzduchotechnika</w:t>
      </w:r>
    </w:p>
    <w:p>
      <w:pPr>
        <w:pStyle w:val="TextBody"/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L.3.1 – hygienická větrání a provozní větrání                                                                                             </w:t>
      </w:r>
    </w:p>
    <w:p>
      <w:pPr>
        <w:pStyle w:val="Normal"/>
        <w:bidi w:val="0"/>
        <w:spacing w:lineRule="atLeast" w:line="240"/>
        <w:jc w:val="left"/>
        <w:rPr>
          <w:rFonts w:ascii="Arial" w:hAnsi="Arial" w:eastAsia="TimesNewRomanPSMT" w:cs="TimesNewRomanPSMT"/>
          <w:b w:val="false"/>
          <w:b w:val="false"/>
          <w:bCs w:val="false"/>
          <w:sz w:val="20"/>
          <w:szCs w:val="20"/>
        </w:rPr>
      </w:pPr>
      <w:r>
        <w:rPr>
          <w:rFonts w:eastAsia="TimesNewRomanPSMT" w:cs="TimesNewRomanPSMT" w:ascii="Arial" w:hAnsi="Arial"/>
          <w:b w:val="false"/>
          <w:bCs w:val="false"/>
          <w:sz w:val="20"/>
          <w:szCs w:val="20"/>
        </w:rPr>
        <w:t>V souvislosti s výstavbou čistých prostor je navrženo nové VZT zařízení dle stavební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b w:val="false"/>
          <w:b w:val="false"/>
          <w:bCs w:val="false"/>
          <w:sz w:val="20"/>
          <w:szCs w:val="20"/>
        </w:rPr>
      </w:pPr>
      <w:r>
        <w:rPr>
          <w:rFonts w:eastAsia="TimesNewRomanPSMT" w:cs="TimesNewRomanPSMT" w:ascii="Arial" w:hAnsi="Arial"/>
          <w:b w:val="false"/>
          <w:bCs w:val="false"/>
          <w:sz w:val="20"/>
          <w:szCs w:val="20"/>
        </w:rPr>
        <w:t>dispozice.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b w:val="false"/>
          <w:b w:val="false"/>
          <w:bCs w:val="false"/>
          <w:sz w:val="20"/>
          <w:szCs w:val="20"/>
        </w:rPr>
      </w:pPr>
      <w:r>
        <w:rPr>
          <w:rFonts w:eastAsia="TimesNewRomanPSMT" w:cs="TimesNewRomanPSMT" w:ascii="Arial" w:hAnsi="Arial"/>
          <w:b w:val="false"/>
          <w:bCs w:val="false"/>
          <w:sz w:val="20"/>
          <w:szCs w:val="20"/>
        </w:rPr>
        <w:t>Vzduchotechnická  jednotka  je umístěna  v archivu, odtud vede požárně  obalené  potrubí  přes  m.č. -112 do m.č.110 v 1.N.P a odtud na fasádu.</w:t>
      </w:r>
    </w:p>
    <w:p>
      <w:pPr>
        <w:pStyle w:val="Normal"/>
        <w:bidi w:val="0"/>
        <w:spacing w:lineRule="atLeast" w:line="240"/>
        <w:jc w:val="left"/>
        <w:rPr>
          <w:rFonts w:ascii="TimesNewRomanPS-BoldMT" w:hAnsi="TimesNewRomanPS-BoldMT" w:eastAsia="TimesNewRomanPS-BoldMT" w:cs="TimesNewRomanPS-BoldMT"/>
          <w:b/>
          <w:b/>
          <w:bCs/>
          <w:sz w:val="24"/>
          <w:szCs w:val="24"/>
        </w:rPr>
      </w:pPr>
      <w:r>
        <w:rPr>
          <w:rFonts w:eastAsia="TimesNewRomanPS-BoldMT" w:cs="TimesNewRomanPS-BoldMT" w:ascii="TimesNewRomanPS-BoldMT" w:hAnsi="TimesNewRomanPS-BoldMT"/>
          <w:b/>
          <w:bCs/>
          <w:sz w:val="24"/>
          <w:szCs w:val="24"/>
        </w:rPr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b/>
          <w:b/>
          <w:bCs/>
          <w:sz w:val="20"/>
          <w:szCs w:val="20"/>
        </w:rPr>
      </w:pPr>
      <w:r>
        <w:rPr>
          <w:rFonts w:eastAsia="TimesNewRomanPSMT" w:cs="TimesNewRomanPSMT" w:ascii="Arial" w:hAnsi="Arial"/>
          <w:b/>
          <w:bCs/>
          <w:sz w:val="20"/>
          <w:szCs w:val="20"/>
        </w:rPr>
        <w:t>Zař.č.1 zajišťuje klimatizaci prostor archivu.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sz w:val="20"/>
          <w:szCs w:val="20"/>
        </w:rPr>
      </w:pPr>
      <w:r>
        <w:rPr>
          <w:rFonts w:eastAsia="TimesNewRomanPSMT" w:cs="TimesNewRomanPSMT" w:ascii="Arial" w:hAnsi="Arial"/>
          <w:sz w:val="20"/>
          <w:szCs w:val="20"/>
        </w:rPr>
        <w:t>Pro větrání prostor je navržena kompaktní nízkotlaká klimatizační jednotka zajišťující filtraci,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sz w:val="20"/>
          <w:szCs w:val="20"/>
        </w:rPr>
      </w:pPr>
      <w:r>
        <w:rPr>
          <w:rFonts w:eastAsia="TimesNewRomanPSMT" w:cs="TimesNewRomanPSMT" w:ascii="Arial" w:hAnsi="Arial"/>
          <w:sz w:val="20"/>
          <w:szCs w:val="20"/>
        </w:rPr>
        <w:t>ohřev nebo chlazení, odvlhčení, vlhčení přiváděného vzduchu. Jednotka je vybavena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sz w:val="20"/>
          <w:szCs w:val="20"/>
        </w:rPr>
      </w:pPr>
      <w:r>
        <w:rPr>
          <w:rFonts w:eastAsia="TimesNewRomanPSMT" w:cs="TimesNewRomanPSMT" w:ascii="Arial" w:hAnsi="Arial"/>
          <w:sz w:val="20"/>
          <w:szCs w:val="20"/>
        </w:rPr>
        <w:t>integrovaným tepelným čerpadlem a parním zvlhčovačem. Vzduchotechnikou jsou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sz w:val="20"/>
          <w:szCs w:val="20"/>
        </w:rPr>
      </w:pPr>
      <w:r>
        <w:rPr>
          <w:rFonts w:eastAsia="TimesNewRomanPSMT" w:cs="TimesNewRomanPSMT" w:ascii="Arial" w:hAnsi="Arial"/>
          <w:sz w:val="20"/>
          <w:szCs w:val="20"/>
        </w:rPr>
        <w:t>kompenzovány pouze tepelné ztráty a zisky čistého prostoru.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sz w:val="20"/>
          <w:szCs w:val="20"/>
        </w:rPr>
      </w:pPr>
      <w:r>
        <w:rPr>
          <w:rFonts w:eastAsia="TimesNewRomanPSMT" w:cs="TimesNewRomanPSMT" w:ascii="Arial" w:hAnsi="Arial"/>
          <w:b/>
          <w:bCs/>
          <w:sz w:val="20"/>
          <w:szCs w:val="20"/>
        </w:rPr>
        <w:t>Sání vzduchu</w:t>
      </w:r>
      <w:r>
        <w:rPr>
          <w:rFonts w:eastAsia="TimesNewRomanPSMT" w:cs="TimesNewRomanPSMT" w:ascii="Arial" w:hAnsi="Arial"/>
          <w:sz w:val="20"/>
          <w:szCs w:val="20"/>
        </w:rPr>
        <w:t xml:space="preserve"> bude z fasády požárně obaleným potrubím, </w:t>
      </w:r>
      <w:r>
        <w:rPr>
          <w:rFonts w:eastAsia="TimesNewRomanPSMT" w:cs="TimesNewRomanPSMT" w:ascii="Arial" w:hAnsi="Arial"/>
          <w:b/>
          <w:bCs/>
          <w:sz w:val="20"/>
          <w:szCs w:val="20"/>
        </w:rPr>
        <w:t>odvod znehodnoceného vzduchu bude na fasádu</w:t>
      </w:r>
      <w:r>
        <w:rPr>
          <w:rFonts w:eastAsia="TimesNewRomanPSMT" w:cs="TimesNewRomanPSMT" w:ascii="Arial" w:hAnsi="Arial"/>
          <w:sz w:val="20"/>
          <w:szCs w:val="20"/>
        </w:rPr>
        <w:t xml:space="preserve">. 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b w:val="false"/>
          <w:b w:val="false"/>
          <w:bCs w:val="false"/>
          <w:sz w:val="20"/>
          <w:szCs w:val="20"/>
        </w:rPr>
      </w:pPr>
      <w:r>
        <w:rPr>
          <w:rFonts w:eastAsia="TimesNewRomanPSMT" w:cs="TimesNewRomanPSMT" w:ascii="Arial" w:hAnsi="Arial"/>
          <w:b w:val="false"/>
          <w:bCs w:val="false"/>
          <w:sz w:val="20"/>
          <w:szCs w:val="20"/>
        </w:rPr>
        <w:t xml:space="preserve">Vzduchotechnická  jednotka  je umístěna  v archivu, odtud vede </w:t>
      </w:r>
      <w:r>
        <w:rPr>
          <w:rFonts w:eastAsia="TimesNewRomanPSMT" w:cs="TimesNewRomanPSMT" w:ascii="Arial" w:hAnsi="Arial"/>
          <w:b/>
          <w:bCs/>
          <w:sz w:val="20"/>
          <w:szCs w:val="20"/>
        </w:rPr>
        <w:t>požárně  obalené  potrubí</w:t>
      </w:r>
      <w:r>
        <w:rPr>
          <w:rFonts w:eastAsia="TimesNewRomanPSMT" w:cs="TimesNewRomanPSMT" w:ascii="Arial" w:hAnsi="Arial"/>
          <w:b w:val="false"/>
          <w:bCs w:val="false"/>
          <w:sz w:val="20"/>
          <w:szCs w:val="20"/>
        </w:rPr>
        <w:t xml:space="preserve">  přes  m.č. -112 a  m.č.110 v 1.N.P a odtud na fasádu.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b/>
          <w:b/>
          <w:bCs/>
          <w:sz w:val="20"/>
          <w:szCs w:val="20"/>
          <w:highlight w:val="lightGray"/>
        </w:rPr>
      </w:pPr>
      <w:r>
        <w:rPr>
          <w:rFonts w:eastAsia="TimesNewRomanPSMT" w:cs="TimesNewRomanPSMT" w:ascii="Arial" w:hAnsi="Arial"/>
          <w:b/>
          <w:bCs/>
          <w:sz w:val="20"/>
          <w:szCs w:val="20"/>
          <w:highlight w:val="lightGray"/>
        </w:rPr>
        <w:t>Ve  VZT potrubí budou osazena  kouřová čidla, která vypnou VZT zařízení , pak se neřeší odstupové vzdálenosti ve smyslu čl. 4.3.5  ČSN 730872.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b/>
          <w:b/>
          <w:sz w:val="20"/>
          <w:szCs w:val="20"/>
          <w:highlight w:val="lightGray"/>
        </w:rPr>
      </w:pPr>
      <w:r>
        <w:rPr>
          <w:rFonts w:eastAsia="TimesNewRomanPSMT" w:cs="TimesNewRomanPSMT" w:ascii="Arial" w:hAnsi="Arial"/>
          <w:b/>
          <w:sz w:val="20"/>
          <w:szCs w:val="20"/>
          <w:highlight w:val="lightGray"/>
        </w:rPr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b/>
          <w:b/>
          <w:sz w:val="20"/>
          <w:szCs w:val="20"/>
        </w:rPr>
      </w:pPr>
      <w:r>
        <w:rPr>
          <w:rFonts w:eastAsia="TimesNewRomanPSMT" w:cs="TimesNewRomanPSMT" w:ascii="Arial" w:hAnsi="Arial"/>
          <w:b/>
          <w:sz w:val="20"/>
          <w:szCs w:val="20"/>
        </w:rPr>
        <w:t xml:space="preserve">Zař.č.2 zajišťuje větrání sociálního zařízení. 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b w:val="false"/>
          <w:b w:val="false"/>
          <w:bCs w:val="false"/>
          <w:sz w:val="20"/>
          <w:szCs w:val="20"/>
        </w:rPr>
      </w:pPr>
      <w:r>
        <w:rPr>
          <w:rFonts w:eastAsia="TimesNewRomanPSMT" w:cs="TimesNewRomanPSMT" w:ascii="Arial" w:hAnsi="Arial"/>
          <w:b w:val="false"/>
          <w:bCs w:val="false"/>
          <w:sz w:val="20"/>
          <w:szCs w:val="20"/>
        </w:rPr>
        <w:t>Zařízení sestává z odvodního ventilátoru umístěného v prostoru WC.</w:t>
      </w:r>
    </w:p>
    <w:p>
      <w:pPr>
        <w:pStyle w:val="Normal"/>
        <w:autoSpaceDE w:val="false"/>
        <w:bidi w:val="0"/>
        <w:jc w:val="left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</w:r>
    </w:p>
    <w:p>
      <w:pPr>
        <w:pStyle w:val="Normal"/>
        <w:bidi w:val="0"/>
        <w:spacing w:lineRule="atLeast" w:line="240"/>
        <w:jc w:val="left"/>
        <w:rPr>
          <w:rFonts w:ascii="Arial" w:hAnsi="Arial" w:eastAsia="TimesNewRomanPS-BoldMT" w:cs="TimesNewRomanPS-BoldMT"/>
          <w:b/>
          <w:b/>
          <w:bCs/>
          <w:sz w:val="20"/>
          <w:szCs w:val="20"/>
        </w:rPr>
      </w:pPr>
      <w:r>
        <w:rPr>
          <w:rFonts w:eastAsia="TimesNewRomanPS-BoldMT" w:cs="TimesNewRomanPS-BoldMT" w:ascii="Arial" w:hAnsi="Arial"/>
          <w:b/>
          <w:bCs/>
          <w:sz w:val="20"/>
          <w:szCs w:val="20"/>
        </w:rPr>
        <w:t>Zař. č.3– Výměna stávající VZT jednotky.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sz w:val="20"/>
          <w:szCs w:val="20"/>
        </w:rPr>
      </w:pPr>
      <w:r>
        <w:rPr>
          <w:rFonts w:eastAsia="TimesNewRomanPSMT" w:cs="TimesNewRomanPSMT" w:ascii="Arial" w:hAnsi="Arial"/>
          <w:sz w:val="20"/>
          <w:szCs w:val="20"/>
        </w:rPr>
        <w:t>Pro větrání stávajících prostor je navržena kompaktní nízkotlaká klimatizační jednotka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sz w:val="20"/>
          <w:szCs w:val="20"/>
        </w:rPr>
      </w:pPr>
      <w:r>
        <w:rPr>
          <w:rFonts w:eastAsia="TimesNewRomanPSMT" w:cs="TimesNewRomanPSMT" w:ascii="Arial" w:hAnsi="Arial"/>
          <w:sz w:val="20"/>
          <w:szCs w:val="20"/>
        </w:rPr>
        <w:t>zajišťující filtraci, ohřev nebo chlazení, přiváděného vzduchu.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sz w:val="20"/>
          <w:szCs w:val="20"/>
        </w:rPr>
      </w:pPr>
      <w:r>
        <w:rPr>
          <w:rFonts w:eastAsia="TimesNewRomanPSMT" w:cs="TimesNewRomanPSMT" w:ascii="Arial" w:hAnsi="Arial"/>
          <w:sz w:val="20"/>
          <w:szCs w:val="20"/>
        </w:rPr>
        <w:t>Jednotka nahradí stávající VZT jednotku.</w:t>
      </w:r>
    </w:p>
    <w:p>
      <w:pPr>
        <w:pStyle w:val="Normal"/>
        <w:autoSpaceDE w:val="false"/>
        <w:bidi w:val="0"/>
        <w:jc w:val="left"/>
        <w:rPr>
          <w:rFonts w:ascii="Arial" w:hAnsi="Arial" w:eastAsia="TimesNewRomanPSMT" w:cs="TimesNewRomanPSMT"/>
          <w:sz w:val="20"/>
          <w:szCs w:val="20"/>
        </w:rPr>
      </w:pPr>
      <w:r>
        <w:rPr>
          <w:rFonts w:eastAsia="TimesNewRomanPSMT" w:cs="TimesNewRomanPSMT" w:ascii="Arial" w:hAnsi="Arial"/>
          <w:sz w:val="20"/>
          <w:szCs w:val="20"/>
        </w:rPr>
        <w:t>Venkovní chladící jednotky budou osazena na fasádě v atriu.</w:t>
      </w:r>
    </w:p>
    <w:p>
      <w:pPr>
        <w:pStyle w:val="Normal"/>
        <w:bidi w:val="0"/>
        <w:spacing w:lineRule="atLeast" w:line="24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tLeast" w:line="240"/>
        <w:jc w:val="left"/>
        <w:rPr/>
      </w:pPr>
      <w:r>
        <w:rPr>
          <w:rFonts w:cs="Arial" w:ascii="Arial" w:hAnsi="Arial"/>
          <w:b/>
          <w:sz w:val="20"/>
          <w:szCs w:val="20"/>
        </w:rPr>
        <w:t>Vzduchotechnická zařízení dané části  objektu</w:t>
      </w:r>
      <w:r>
        <w:rPr>
          <w:rFonts w:cs="Arial" w:ascii="Arial" w:hAnsi="Arial"/>
          <w:sz w:val="20"/>
          <w:szCs w:val="20"/>
        </w:rPr>
        <w:t xml:space="preserve"> – budou splňovat  požadavky ČSN 730872 a ČSN 730802/Z3.</w:t>
      </w:r>
    </w:p>
    <w:p>
      <w:pPr>
        <w:pStyle w:val="Normal"/>
        <w:bidi w:val="0"/>
        <w:spacing w:lineRule="atLeast" w:line="24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spacing w:lineRule="atLeast" w:line="24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Vzduchotechnická potrubí s plochou průřezu &lt; 0,04m</w:t>
      </w:r>
      <w:r>
        <w:rPr>
          <w:rFonts w:cs="Arial" w:ascii="Arial" w:hAnsi="Arial"/>
          <w:b/>
          <w:bCs/>
          <w:sz w:val="20"/>
          <w:szCs w:val="20"/>
          <w:vertAlign w:val="superscript"/>
        </w:rPr>
        <w:t>2</w:t>
      </w:r>
      <w:r>
        <w:rPr>
          <w:rFonts w:cs="Arial" w:ascii="Arial" w:hAnsi="Arial"/>
          <w:sz w:val="20"/>
          <w:szCs w:val="20"/>
        </w:rPr>
        <w:t xml:space="preserve"> mohou procházet požárně dělící konstrukcí bez opatření, jsou-li např. potrubí dvě, musí být mezi potrubími vzdálenost 500mm a jsou-li blíže, musí být jedno z nich do vzdálenosti 500mm opatřeno nehořlavým protipožárním obkladem s požární odolností 30 minut.</w:t>
      </w:r>
    </w:p>
    <w:p>
      <w:pPr>
        <w:pStyle w:val="Normal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Vzduchotechnická potrubí s plochou průřezu &gt; 0,04m</w:t>
      </w:r>
      <w:r>
        <w:rPr>
          <w:rFonts w:cs="Arial" w:ascii="Arial" w:hAnsi="Arial"/>
          <w:b/>
          <w:bCs/>
          <w:sz w:val="20"/>
          <w:szCs w:val="20"/>
          <w:vertAlign w:val="superscript"/>
        </w:rPr>
        <w:t xml:space="preserve">2 </w:t>
      </w:r>
      <w:r>
        <w:rPr>
          <w:rFonts w:cs="Arial" w:ascii="Arial" w:hAnsi="Arial"/>
          <w:sz w:val="20"/>
          <w:szCs w:val="20"/>
        </w:rPr>
        <w:t xml:space="preserve"> procházející požárně dělící konstrukcí (  na  hranici  požárních  úseků)  </w:t>
      </w:r>
      <w:r>
        <w:rPr>
          <w:rFonts w:cs="Arial" w:ascii="Arial" w:hAnsi="Arial"/>
          <w:b/>
          <w:bCs/>
          <w:sz w:val="20"/>
          <w:szCs w:val="20"/>
          <w:u w:val="single"/>
        </w:rPr>
        <w:t>je protipožárně obaleno – viz  výše.</w:t>
      </w:r>
    </w:p>
    <w:p>
      <w:pPr>
        <w:pStyle w:val="TextBody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TextBody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/>
      </w:pP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Skladba protipožární izolace </w:t>
      </w:r>
      <w:r>
        <w:rPr>
          <w:rFonts w:cs="Arial" w:ascii="Arial" w:hAnsi="Arial"/>
          <w:color w:val="000000"/>
          <w:sz w:val="20"/>
          <w:szCs w:val="20"/>
        </w:rPr>
        <w:t xml:space="preserve">v provedení dle atestu. Prostupy pro vzduchotechnické potrubí v požárně dělících konstrukcí budou po montáži potrubí utěsněny požárními ucpávkami. </w:t>
      </w:r>
    </w:p>
    <w:p>
      <w:pPr>
        <w:pStyle w:val="Normal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/>
      </w:pPr>
      <w:r>
        <w:rPr>
          <w:rFonts w:cs="Arial" w:ascii="Arial" w:hAnsi="Arial"/>
          <w:b/>
          <w:bCs/>
          <w:color w:val="000000"/>
          <w:sz w:val="20"/>
          <w:szCs w:val="20"/>
        </w:rPr>
        <w:t>Požární izolace VZT potrubí budou provedeny minerální plstí o objemové hmotnosti min. 65 kg/m</w:t>
      </w:r>
      <w:r>
        <w:rPr>
          <w:rFonts w:cs="Arial" w:ascii="Arial" w:hAnsi="Arial"/>
          <w:b/>
          <w:bCs/>
          <w:color w:val="000000"/>
          <w:sz w:val="20"/>
          <w:szCs w:val="20"/>
          <w:vertAlign w:val="superscript"/>
        </w:rPr>
        <w:t>3</w:t>
      </w: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 a pro použití do 550°C, polepenými hliníkovou fólií.</w:t>
      </w:r>
    </w:p>
    <w:p>
      <w:pPr>
        <w:pStyle w:val="Zkladntext22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>
          <w:rFonts w:ascii="Arial" w:hAnsi="Arial" w:cs="Arial"/>
          <w:b/>
          <w:b/>
          <w:bCs/>
          <w:color w:val="000000"/>
          <w:sz w:val="20"/>
          <w:szCs w:val="20"/>
          <w:u w:val="single"/>
        </w:rPr>
      </w:pPr>
      <w:r>
        <w:rPr>
          <w:rFonts w:cs="Arial" w:ascii="Arial" w:hAnsi="Arial"/>
          <w:b/>
          <w:bCs/>
          <w:color w:val="000000"/>
          <w:sz w:val="20"/>
          <w:szCs w:val="20"/>
          <w:u w:val="single"/>
        </w:rPr>
        <w:t xml:space="preserve">Odolnost protipožární izolace: </w:t>
      </w:r>
    </w:p>
    <w:p>
      <w:pPr>
        <w:pStyle w:val="Zkladntext22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/>
      </w:pPr>
      <w:r>
        <w:rPr>
          <w:rFonts w:cs="Arial" w:ascii="Arial" w:hAnsi="Arial"/>
          <w:b/>
          <w:bCs/>
          <w:color w:val="000000"/>
          <w:sz w:val="20"/>
          <w:szCs w:val="20"/>
          <w:u w:val="single"/>
        </w:rPr>
        <w:t xml:space="preserve"> </w:t>
      </w:r>
      <w:r>
        <w:rPr>
          <w:rFonts w:cs="Arial" w:ascii="Arial" w:hAnsi="Arial"/>
          <w:b/>
          <w:bCs/>
          <w:color w:val="000000"/>
          <w:sz w:val="20"/>
          <w:szCs w:val="20"/>
        </w:rPr>
        <w:t>v I. a II.stupni  P.B  je požadována izolace s odolností 15 minut.</w:t>
      </w:r>
    </w:p>
    <w:p>
      <w:pPr>
        <w:pStyle w:val="Zkladntext22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>
          <w:rFonts w:ascii="Arial" w:hAnsi="Arial" w:cs="Arial"/>
          <w:b/>
          <w:b/>
          <w:bCs/>
          <w:color w:val="000000"/>
          <w:sz w:val="20"/>
          <w:szCs w:val="20"/>
          <w:highlight w:val="lightGray"/>
        </w:rPr>
      </w:pPr>
      <w:r>
        <w:rPr>
          <w:rFonts w:cs="Arial" w:ascii="Arial" w:hAnsi="Arial"/>
          <w:b/>
          <w:bCs/>
          <w:color w:val="000000"/>
          <w:sz w:val="20"/>
          <w:szCs w:val="20"/>
          <w:highlight w:val="lightGray"/>
        </w:rPr>
        <w:t>ve III. a IV.stupni je požadována izolace s požární odolností 30 minut, tl. izolace 40 mm</w:t>
      </w:r>
    </w:p>
    <w:p>
      <w:pPr>
        <w:pStyle w:val="Zkladntext22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 </w:t>
      </w:r>
      <w:r>
        <w:rPr>
          <w:rFonts w:cs="Arial" w:ascii="Arial" w:hAnsi="Arial"/>
          <w:color w:val="000000"/>
          <w:sz w:val="20"/>
          <w:szCs w:val="20"/>
        </w:rPr>
        <w:t>v V stupni P.B je požadována izolace s odolností 45 minut.</w:t>
      </w:r>
    </w:p>
    <w:p>
      <w:pPr>
        <w:pStyle w:val="Zkladntext22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 </w:t>
      </w:r>
      <w:r>
        <w:rPr>
          <w:rFonts w:cs="Arial" w:ascii="Arial" w:hAnsi="Arial"/>
          <w:color w:val="000000"/>
          <w:sz w:val="20"/>
          <w:szCs w:val="20"/>
        </w:rPr>
        <w:t xml:space="preserve">v VI. stupni P.B je požadována izolace s odolností 60 minut. </w:t>
      </w:r>
    </w:p>
    <w:p>
      <w:pPr>
        <w:pStyle w:val="Zkladntext22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v VII. stupni P.B je požadována izolace s odolností 90 minut.</w:t>
      </w:r>
    </w:p>
    <w:p>
      <w:pPr>
        <w:pStyle w:val="Zkladntext22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 </w:t>
      </w:r>
    </w:p>
    <w:p>
      <w:pPr>
        <w:pStyle w:val="TextBody"/>
        <w:bidi w:val="0"/>
        <w:spacing w:before="0" w:after="12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Prostupy vzduchotechnického potrubí: v</w:t>
      </w:r>
      <w:r>
        <w:rPr>
          <w:rFonts w:cs="Arial" w:ascii="Arial" w:hAnsi="Arial"/>
          <w:sz w:val="20"/>
          <w:szCs w:val="20"/>
        </w:rPr>
        <w:t xml:space="preserve">zduchotechnické potrubí v prostupech bude protipožárně izolováno nehořlavým izolačním materiálem. Kombinací minerální vlny a protipožárního tmelu nebo nátěru, nebo systém protipožární izolace obložením potrubí, jejichž stálá pružnost zamezí vzniku zvukových mostů a splní protipožární funkci. </w:t>
      </w:r>
    </w:p>
    <w:p>
      <w:pPr>
        <w:pStyle w:val="TextBody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Prostup VZT plechového potrubí izolovaného nehořlavou izolací z minerální vlny je nutno doplnit požárně ochranným lemem z obou stran dělící konstrukce</w:t>
      </w:r>
    </w:p>
    <w:p>
      <w:pPr>
        <w:pStyle w:val="TextBody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  <w:u w:val="single"/>
        </w:rPr>
      </w:pPr>
      <w:r>
        <w:rPr>
          <w:rFonts w:cs="Arial" w:ascii="Arial" w:hAnsi="Arial"/>
          <w:b/>
          <w:color w:val="000000"/>
          <w:sz w:val="20"/>
          <w:szCs w:val="20"/>
          <w:u w:val="single"/>
        </w:rPr>
        <w:t>Při případném požáru se vypíná  přívod  proudu do objektu a VZT zařízení je mimo provoz.</w:t>
      </w:r>
    </w:p>
    <w:p>
      <w:pPr>
        <w:pStyle w:val="TextBody"/>
        <w:tabs>
          <w:tab w:val="left" w:pos="0" w:leader="none"/>
          <w:tab w:val="left" w:pos="709" w:leader="none"/>
          <w:tab w:val="left" w:pos="851" w:leader="none"/>
          <w:tab w:val="left" w:pos="1701" w:leader="none"/>
          <w:tab w:val="left" w:pos="2552" w:leader="none"/>
          <w:tab w:val="left" w:pos="3260" w:leader="none"/>
          <w:tab w:val="left" w:pos="4111" w:leader="none"/>
          <w:tab w:val="left" w:pos="4961" w:leader="none"/>
          <w:tab w:val="left" w:pos="5812" w:leader="none"/>
          <w:tab w:val="left" w:pos="6662" w:leader="none"/>
          <w:tab w:val="left" w:pos="7513" w:leader="none"/>
          <w:tab w:val="left" w:pos="8363" w:leader="none"/>
        </w:tabs>
        <w:bidi w:val="0"/>
        <w:jc w:val="both"/>
        <w:rPr>
          <w:rFonts w:ascii="Arial" w:hAnsi="Arial" w:cs="Arial"/>
          <w:b/>
          <w:b/>
          <w:bCs/>
          <w:i/>
          <w:i/>
          <w:color w:val="000000"/>
          <w:position w:val="0"/>
          <w:sz w:val="22"/>
          <w:sz w:val="22"/>
          <w:szCs w:val="22"/>
          <w:u w:val="single"/>
          <w:vertAlign w:val="baseline"/>
          <w:lang w:val="en"/>
        </w:rPr>
      </w:pPr>
      <w:r>
        <w:rPr>
          <w:rFonts w:cs="Arial" w:ascii="Arial" w:hAnsi="Arial"/>
          <w:b/>
          <w:bCs/>
          <w:i/>
          <w:color w:val="000000"/>
          <w:position w:val="0"/>
          <w:sz w:val="22"/>
          <w:sz w:val="22"/>
          <w:szCs w:val="22"/>
          <w:u w:val="single"/>
          <w:vertAlign w:val="baseline"/>
          <w:lang w:val="en"/>
        </w:rPr>
      </w:r>
    </w:p>
    <w:p>
      <w:pPr>
        <w:pStyle w:val="TextBody"/>
        <w:tabs>
          <w:tab w:val="clear" w:pos="709"/>
          <w:tab w:val="left" w:pos="0" w:leader="none"/>
        </w:tabs>
        <w:bidi w:val="0"/>
        <w:spacing w:lineRule="atLeast" w:line="240" w:before="120" w:after="0"/>
        <w:jc w:val="left"/>
        <w:rPr>
          <w:rFonts w:ascii="Arial" w:hAnsi="Arial" w:cs="Arial"/>
          <w:b/>
          <w:b/>
          <w:bCs/>
          <w:i w:val="false"/>
          <w:i w:val="false"/>
          <w:iCs w:val="false"/>
          <w:color w:val="FF3366"/>
          <w:sz w:val="20"/>
          <w:szCs w:val="20"/>
          <w:u w:val="none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position w:val="0"/>
          <w:sz w:val="22"/>
          <w:sz w:val="22"/>
          <w:szCs w:val="22"/>
          <w:u w:val="single"/>
          <w:vertAlign w:val="baseline"/>
          <w:lang w:val="en"/>
        </w:rPr>
        <w:t>N/ posouzení po</w:t>
      </w:r>
      <w:r>
        <w:rPr>
          <w:rFonts w:eastAsia="MS Mincho;ＭＳ 明朝" w:cs="Arial" w:ascii="Arial" w:hAnsi="Arial"/>
          <w:b/>
          <w:bCs/>
          <w:i w:val="false"/>
          <w:iCs w:val="false"/>
          <w:color w:val="000000"/>
          <w:position w:val="0"/>
          <w:sz w:val="22"/>
          <w:sz w:val="22"/>
          <w:szCs w:val="22"/>
          <w:u w:val="single"/>
          <w:vertAlign w:val="baseline"/>
          <w:lang w:val="en"/>
        </w:rPr>
        <w:t>žadavků</w:t>
      </w:r>
      <w:r>
        <w:rPr>
          <w:rFonts w:cs="Arial" w:ascii="Arial" w:hAnsi="Arial"/>
          <w:b/>
          <w:bCs/>
          <w:i w:val="false"/>
          <w:iCs w:val="false"/>
          <w:color w:val="000000"/>
          <w:position w:val="0"/>
          <w:sz w:val="22"/>
          <w:sz w:val="22"/>
          <w:szCs w:val="22"/>
          <w:u w:val="single"/>
          <w:vertAlign w:val="baseline"/>
          <w:lang w:val="en"/>
        </w:rPr>
        <w:t xml:space="preserve"> na zabezpečení stavby požárně bezpečnostními zařízeními, následn</w:t>
      </w:r>
      <w:r>
        <w:rPr>
          <w:rFonts w:eastAsia="MS Mincho;ＭＳ 明朝" w:cs="Arial" w:ascii="Arial" w:hAnsi="Arial"/>
          <w:b/>
          <w:bCs/>
          <w:i w:val="false"/>
          <w:iCs w:val="false"/>
          <w:color w:val="000000"/>
          <w:position w:val="0"/>
          <w:sz w:val="22"/>
          <w:sz w:val="22"/>
          <w:szCs w:val="22"/>
          <w:u w:val="single"/>
          <w:vertAlign w:val="baseline"/>
          <w:lang w:val="en"/>
        </w:rPr>
        <w:t>ě</w:t>
      </w:r>
      <w:r>
        <w:rPr>
          <w:rFonts w:cs="Arial" w:ascii="Arial" w:hAnsi="Arial"/>
          <w:b/>
          <w:bCs/>
          <w:i w:val="false"/>
          <w:iCs w:val="false"/>
          <w:color w:val="000000"/>
          <w:position w:val="0"/>
          <w:sz w:val="22"/>
          <w:sz w:val="22"/>
          <w:szCs w:val="22"/>
          <w:u w:val="single"/>
          <w:vertAlign w:val="baseline"/>
          <w:lang w:val="en"/>
        </w:rPr>
        <w:t xml:space="preserve"> stanovení podmínek a návrh způsobu jejich umístění a instalace do stavby.</w:t>
      </w:r>
    </w:p>
    <w:p>
      <w:pPr>
        <w:pStyle w:val="Normln"/>
        <w:bidi w:val="0"/>
        <w:jc w:val="left"/>
        <w:rPr>
          <w:rFonts w:ascii="Arial" w:hAnsi="Arial" w:cs="Arial"/>
          <w:b w:val="false"/>
          <w:b w:val="false"/>
          <w:bCs w:val="false"/>
          <w:i w:val="false"/>
          <w:i w:val="false"/>
          <w:iCs w:val="false"/>
          <w:color w:val="auto"/>
          <w:sz w:val="20"/>
          <w:szCs w:val="20"/>
          <w:u w:val="none"/>
        </w:rPr>
      </w:pPr>
      <w:r>
        <w:rPr>
          <w:rFonts w:cs="Arial"/>
          <w:b w:val="false"/>
          <w:bCs w:val="false"/>
          <w:i w:val="false"/>
          <w:iCs w:val="false"/>
          <w:color w:val="auto"/>
          <w:sz w:val="20"/>
          <w:szCs w:val="20"/>
          <w:u w:val="none"/>
        </w:rPr>
        <w:t>Řešení dle vyhlášky 246/ 2001 Sb, § 41, odst. 2, písm.n</w:t>
      </w:r>
    </w:p>
    <w:p>
      <w:pPr>
        <w:pStyle w:val="Normln"/>
        <w:bidi w:val="0"/>
        <w:jc w:val="both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/>
          <w:b/>
          <w:bCs/>
          <w:color w:val="000000"/>
          <w:sz w:val="20"/>
          <w:szCs w:val="20"/>
        </w:rPr>
        <w:t xml:space="preserve"> </w:t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color w:val="000000"/>
          <w:sz w:val="20"/>
          <w:szCs w:val="20"/>
          <w:u w:val="single"/>
        </w:rPr>
      </w:pPr>
      <w:r>
        <w:rPr>
          <w:rFonts w:cs="Arial" w:ascii="Arial" w:hAnsi="Arial"/>
          <w:b/>
          <w:bCs/>
          <w:color w:val="000000"/>
          <w:sz w:val="20"/>
          <w:szCs w:val="20"/>
          <w:u w:val="single"/>
        </w:rPr>
        <w:t>Požárně  bezpečnostní  zařízení  :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 xml:space="preserve">- N 1 - Elektrická požární signalizace- EPS </w:t>
      </w:r>
      <w:r>
        <w:rPr>
          <w:rFonts w:cs="Arial" w:ascii="Arial" w:hAnsi="Arial"/>
          <w:b w:val="false"/>
          <w:bCs w:val="false"/>
          <w:sz w:val="20"/>
          <w:szCs w:val="20"/>
        </w:rPr>
        <w:t xml:space="preserve"> – není navrženo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- N2 – Zařízení  dálkového přenosu- ZDP</w:t>
      </w:r>
      <w:r>
        <w:rPr>
          <w:rFonts w:cs="Arial" w:ascii="Arial" w:hAnsi="Arial"/>
          <w:b w:val="false"/>
          <w:bCs w:val="false"/>
          <w:sz w:val="20"/>
          <w:szCs w:val="20"/>
        </w:rPr>
        <w:t>- není navrženo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- N3 – Nouzové  zvukové  zařízení –</w:t>
      </w:r>
      <w:r>
        <w:rPr>
          <w:rFonts w:cs="Arial" w:ascii="Arial" w:hAnsi="Arial"/>
          <w:b w:val="false"/>
          <w:bCs w:val="false"/>
          <w:sz w:val="20"/>
          <w:szCs w:val="20"/>
        </w:rPr>
        <w:t xml:space="preserve"> není navrženo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- N4 – Zařízení pro detekci hořlavých  plynů a  par</w:t>
      </w:r>
      <w:r>
        <w:rPr>
          <w:rFonts w:cs="Arial" w:ascii="Arial" w:hAnsi="Arial"/>
          <w:b w:val="false"/>
          <w:bCs w:val="false"/>
          <w:sz w:val="20"/>
          <w:szCs w:val="20"/>
        </w:rPr>
        <w:t>- není navrženo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- N5 – Stabilní  hasící  zařízení- SHZ</w:t>
      </w:r>
      <w:r>
        <w:rPr>
          <w:rFonts w:cs="Arial" w:ascii="Arial" w:hAnsi="Arial"/>
          <w:b w:val="false"/>
          <w:bCs w:val="false"/>
          <w:sz w:val="20"/>
          <w:szCs w:val="20"/>
        </w:rPr>
        <w:t>- není navrženo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 xml:space="preserve">- N6 – Automatické  proti výbuchové  zařízení - </w:t>
      </w:r>
      <w:r>
        <w:rPr>
          <w:rFonts w:cs="Arial" w:ascii="Arial" w:hAnsi="Arial"/>
          <w:b w:val="false"/>
          <w:bCs w:val="false"/>
          <w:sz w:val="20"/>
          <w:szCs w:val="20"/>
        </w:rPr>
        <w:t>není navrženo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- N7 – Zařízení  pro  odvod  kouře  a  tepla- ZOKT</w:t>
      </w:r>
      <w:r>
        <w:rPr>
          <w:rFonts w:cs="Arial" w:ascii="Arial" w:hAnsi="Arial"/>
          <w:b w:val="false"/>
          <w:bCs w:val="false"/>
          <w:sz w:val="20"/>
          <w:szCs w:val="20"/>
        </w:rPr>
        <w:t xml:space="preserve">- není  navrženo 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- N8 – Větrání CHÚC</w:t>
      </w:r>
      <w:r>
        <w:rPr>
          <w:rFonts w:cs="Arial" w:ascii="Arial" w:hAnsi="Arial"/>
          <w:b w:val="false"/>
          <w:bCs w:val="false"/>
          <w:sz w:val="20"/>
          <w:szCs w:val="20"/>
        </w:rPr>
        <w:t>- neřeší se, stávající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 xml:space="preserve">- N9 – Havarijní větrání </w:t>
      </w:r>
      <w:r>
        <w:rPr>
          <w:rFonts w:cs="Arial" w:ascii="Arial" w:hAnsi="Arial"/>
          <w:b w:val="false"/>
          <w:bCs w:val="false"/>
          <w:sz w:val="20"/>
          <w:szCs w:val="20"/>
        </w:rPr>
        <w:t>- neřeší se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 xml:space="preserve">- N10 – Požární  klapky </w:t>
      </w:r>
      <w:r>
        <w:rPr>
          <w:rFonts w:cs="Arial" w:ascii="Arial" w:hAnsi="Arial"/>
          <w:b w:val="false"/>
          <w:bCs w:val="false"/>
          <w:sz w:val="20"/>
          <w:szCs w:val="20"/>
        </w:rPr>
        <w:t>-  neřeší se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 xml:space="preserve">- N 11 – Nouzové  osvětlení </w:t>
      </w:r>
      <w:r>
        <w:rPr>
          <w:rFonts w:cs="Arial" w:ascii="Arial" w:hAnsi="Arial"/>
          <w:b w:val="false"/>
          <w:bCs w:val="false"/>
          <w:sz w:val="20"/>
          <w:szCs w:val="20"/>
        </w:rPr>
        <w:t>- viz výše, část L 1.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/>
      </w:pPr>
      <w:r>
        <w:rPr>
          <w:rFonts w:cs="Arial" w:ascii="Arial" w:hAnsi="Arial"/>
          <w:b/>
          <w:bCs/>
          <w:sz w:val="20"/>
          <w:szCs w:val="20"/>
        </w:rPr>
        <w:t>- N 12 – zařízení autonomní detekce a signalizace-</w:t>
      </w:r>
      <w:r>
        <w:rPr>
          <w:rFonts w:cs="Arial" w:ascii="Arial" w:hAnsi="Arial"/>
          <w:b w:val="false"/>
          <w:bCs w:val="false"/>
          <w:sz w:val="20"/>
          <w:szCs w:val="20"/>
        </w:rPr>
        <w:t xml:space="preserve"> není navrženo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- N 13 – Náhradní zdroje – není zařízením PBŘ</w:t>
      </w:r>
    </w:p>
    <w:p>
      <w:pPr>
        <w:pStyle w:val="Normal"/>
        <w:tabs>
          <w:tab w:val="clear" w:pos="709"/>
          <w:tab w:val="left" w:pos="5412" w:leader="none"/>
        </w:tabs>
        <w:bidi w:val="0"/>
        <w:jc w:val="left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bCs/>
          <w:color w:val="000000"/>
          <w:sz w:val="20"/>
          <w:szCs w:val="20"/>
          <w:u w:val="single"/>
        </w:rPr>
      </w:pPr>
      <w:r>
        <w:rPr>
          <w:rFonts w:cs="Arial" w:ascii="Arial" w:hAnsi="Arial"/>
          <w:b/>
          <w:bCs/>
          <w:color w:val="000000"/>
          <w:sz w:val="20"/>
          <w:szCs w:val="20"/>
          <w:u w:val="single"/>
        </w:rPr>
        <w:t>Přehled o  těchto  zařízeních  bude soustředěn u Správy budovy</w:t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b/>
          <w:bCs/>
          <w:color w:val="auto"/>
          <w:sz w:val="20"/>
          <w:szCs w:val="20"/>
        </w:rPr>
        <w:t>Pro  všechna  požárně  bezpečnostní  zařízení budou</w:t>
      </w:r>
      <w:r>
        <w:rPr>
          <w:rFonts w:cs="Arial" w:ascii="Arial" w:hAnsi="Arial"/>
          <w:bCs/>
          <w:color w:val="auto"/>
          <w:sz w:val="20"/>
          <w:szCs w:val="20"/>
        </w:rPr>
        <w:t xml:space="preserve">  vedeny  provozní  knihy ( kontrola, zjištění  a odstranění  závad, revize , podpisy  odpovědné  osoby) ….</w:t>
      </w:r>
    </w:p>
    <w:p>
      <w:pPr>
        <w:pStyle w:val="Normal"/>
        <w:bidi w:val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bidi w:val="0"/>
        <w:jc w:val="left"/>
        <w:rPr>
          <w:b/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</w:r>
    </w:p>
    <w:p>
      <w:pPr>
        <w:pStyle w:val="Normln"/>
        <w:bidi w:val="0"/>
        <w:jc w:val="both"/>
        <w:rPr>
          <w:b/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O/ rozsah a  způsob rozmístění výstražných  a  bezpečnostních značek a tabulek včetně  vyhodnocení  míst na kterých  se nachází věcné prostředky  požární  ochrany  a požárně  bezpečnostní  zařízení</w:t>
      </w:r>
    </w:p>
    <w:p>
      <w:pPr>
        <w:pStyle w:val="Normln"/>
        <w:bidi w:val="0"/>
        <w:spacing w:before="120" w:after="0"/>
        <w:jc w:val="left"/>
        <w:rPr/>
      </w:pPr>
      <w:r>
        <w:rPr>
          <w:sz w:val="20"/>
          <w:szCs w:val="20"/>
        </w:rPr>
        <w:t>Řešení dle vyhlášky 246/ 2001 Sb, § 41, odst. 2, písm.o</w:t>
      </w:r>
      <w:r>
        <w:rPr>
          <w:b/>
          <w:bCs/>
          <w:sz w:val="20"/>
          <w:szCs w:val="20"/>
        </w:rPr>
        <w:t xml:space="preserve"> </w:t>
      </w:r>
    </w:p>
    <w:p>
      <w:pPr>
        <w:pStyle w:val="Normal"/>
        <w:bidi w:val="0"/>
        <w:spacing w:before="120" w:after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V objektu jsou již  rozmístěny požární tabulky dle   jedná se o tabulky s označenímdle  ČSN EN  ISO 7010  a dle ČSN ISO 3864 1 – 4, pro dané prostory  budou doplněny.</w:t>
      </w:r>
    </w:p>
    <w:p>
      <w:pPr>
        <w:pStyle w:val="TextBody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Pol. 1 –   úniková cesta  vpravo                                                                                                                                                Pol. 2 –   úniková  cesta  vlevo                                                                                                                                                                                                                                                            Pol. 8 -    únikové dveře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Pol. 20 -  označení hydrantu                                                                                                                                                       Pol. 21 -  označení hasícího přístroje</w:t>
      </w:r>
    </w:p>
    <w:p>
      <w:pPr>
        <w:pStyle w:val="TextBody"/>
        <w:bidi w:val="0"/>
        <w:spacing w:before="0" w:after="0"/>
        <w:jc w:val="left"/>
        <w:rPr/>
      </w:pPr>
      <w:r>
        <w:rPr>
          <w:rFonts w:cs="Arial" w:ascii="Arial" w:hAnsi="Arial"/>
          <w:bCs/>
          <w:sz w:val="20"/>
          <w:szCs w:val="20"/>
        </w:rPr>
        <w:t xml:space="preserve">Déle bude označena  nová </w:t>
      </w:r>
      <w:r>
        <w:rPr>
          <w:rFonts w:cs="Arial" w:ascii="Arial" w:hAnsi="Arial"/>
          <w:sz w:val="20"/>
          <w:szCs w:val="20"/>
        </w:rPr>
        <w:t>strojovna VZT.</w:t>
      </w:r>
    </w:p>
    <w:p>
      <w:pPr>
        <w:pStyle w:val="TextBody"/>
        <w:bidi w:val="0"/>
        <w:spacing w:before="0" w:after="0"/>
        <w:jc w:val="left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ZkladntextIMP"/>
        <w:bidi w:val="0"/>
        <w:jc w:val="left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Navržené úpravy z hlediska PO musí být respektovány jak při stavebním řešení, tak i v jednotlivých profesních částech.</w:t>
      </w:r>
    </w:p>
    <w:p>
      <w:pPr>
        <w:pStyle w:val="ZkladntextIMP"/>
        <w:bidi w:val="0"/>
        <w:jc w:val="left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Požární odolnost požárních uzávěrů ( dveří ) musí být doložena platnými doklady</w:t>
      </w:r>
    </w:p>
    <w:p>
      <w:pPr>
        <w:pStyle w:val="ZkladntextIMP"/>
        <w:bidi w:val="0"/>
        <w:jc w:val="left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a certifikáty a musí splňovat §5 vyhlášky MV č. 202 / 1999 Sb.</w:t>
      </w:r>
    </w:p>
    <w:p>
      <w:pPr>
        <w:pStyle w:val="ZkladntextIMP"/>
        <w:bidi w:val="0"/>
        <w:jc w:val="left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Při výstavbě smí být použity pouze atestované a certifikované systémy schválené pro použití v ČR s průkazem shody dle zákona  č. 22 / 1997 Sb. v platném znění a dle souvisejících zákonů.</w:t>
      </w:r>
    </w:p>
    <w:p>
      <w:pPr>
        <w:pStyle w:val="ZkladntextIMP"/>
        <w:bidi w:val="0"/>
        <w:jc w:val="left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Jednotliví dodavatelé požárně bezpečnostních zařízení musí jako součást kolaudační dokumentace předložit osvědčení  o jakosti a kompletnosti dle § 6 odst. 2 a § 10 odst. 2 vyhlášky č. 246 / 2001 Sb.  a doklady o všech revizích a provozu schopnosti požárně bezpečnostních zařízení.</w:t>
      </w:r>
    </w:p>
    <w:p>
      <w:pPr>
        <w:pStyle w:val="ZkladntextIMP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TextBody"/>
        <w:bidi w:val="0"/>
        <w:spacing w:before="227" w:after="119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Praha 03/2020               Ing. Svatava Čermáková</w:t>
      </w:r>
    </w:p>
    <w:p>
      <w:pPr>
        <w:pStyle w:val="TextBody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                                   </w:t>
      </w:r>
      <w:r>
        <w:rPr>
          <w:rFonts w:cs="Arial" w:ascii="Arial" w:hAnsi="Arial"/>
          <w:sz w:val="20"/>
          <w:szCs w:val="20"/>
        </w:rPr>
        <w:t xml:space="preserve">ČKAIT 0006456                                                     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                                    </w:t>
      </w:r>
      <w:r>
        <w:rPr>
          <w:rFonts w:cs="Arial" w:ascii="Arial" w:hAnsi="Arial"/>
          <w:sz w:val="20"/>
          <w:szCs w:val="20"/>
        </w:rPr>
        <w:t xml:space="preserve">tel. 602 535512                                                                                                                                        </w:t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sz w:val="20"/>
          <w:szCs w:val="20"/>
        </w:rPr>
        <w:tab/>
        <w:t xml:space="preserve">                           </w:t>
      </w:r>
      <w:hyperlink r:id="rId2">
        <w:r>
          <w:rPr>
            <w:rStyle w:val="InternetLink"/>
            <w:rFonts w:cs="Arial" w:ascii="Arial" w:hAnsi="Arial"/>
            <w:color w:val="000000"/>
            <w:sz w:val="20"/>
            <w:szCs w:val="20"/>
          </w:rPr>
          <w:t>cermakova.svatava@gmail.com</w:t>
        </w:r>
      </w:hyperlink>
    </w:p>
    <w:sectPr>
      <w:footerReference w:type="default" r:id="rId3"/>
      <w:type w:val="nextPage"/>
      <w:pgSz w:w="11906" w:h="16838"/>
      <w:pgMar w:left="1134" w:right="1134" w:header="0" w:top="1134" w:footer="1134" w:bottom="170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auto"/>
    <w:pitch w:val="default"/>
  </w:font>
  <w:font w:name="ArialMT">
    <w:charset w:val="ee"/>
    <w:family w:val="swiss"/>
    <w:pitch w:val="default"/>
  </w:font>
  <w:font w:name="TimesNewRomanPS-BoldMT">
    <w:charset w:val="ee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suppressLineNumbers/>
      <w:tabs>
        <w:tab w:val="center" w:pos="4819" w:leader="none"/>
        <w:tab w:val="right" w:pos="9638" w:leader="none"/>
      </w:tabs>
      <w:bidi w:val="0"/>
      <w:jc w:val="left"/>
      <w:rPr/>
    </w:pPr>
    <w:r>
      <w:rPr/>
      <w:t xml:space="preserve">                                                                                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pStyle w:val="Heading9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Arial" w:hAnsi="Arial" w:cs="Arial" w:hint="default"/>
        <w:vertAlign w:val="baseline"/>
        <w:position w:val="0"/>
        <w:sz w:val="20"/>
        <w:sz w:val="20"/>
        <w:szCs w:val="20"/>
        <w:rFonts w:cs="Arial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rFonts w:cs="OpenSymbol;Arial Unicode MS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pacing w:val="-2"/>
        <w:rFonts w:ascii="Symbol" w:hAnsi="Symbol" w:cs="OpenSymbol;Arial Unicode MS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Arial"/>
      <w:color w:val="auto"/>
      <w:kern w:val="2"/>
      <w:sz w:val="24"/>
      <w:szCs w:val="24"/>
      <w:lang w:val="cs-CZ" w:eastAsia="zh-CN" w:bidi="hi-IN"/>
    </w:rPr>
  </w:style>
  <w:style w:type="paragraph" w:styleId="Heading3">
    <w:name w:val="Heading 3"/>
    <w:basedOn w:val="Normal"/>
    <w:next w:val="Normal"/>
    <w:qFormat/>
    <w:pPr>
      <w:keepNext w:val="true"/>
      <w:widowControl w:val="false"/>
      <w:numPr>
        <w:ilvl w:val="2"/>
        <w:numId w:val="1"/>
      </w:numPr>
      <w:suppressAutoHyphens w:val="true"/>
      <w:spacing w:before="240" w:after="60"/>
      <w:ind w:left="0" w:right="0" w:hanging="0"/>
      <w:outlineLvl w:val="2"/>
    </w:pPr>
    <w:rPr>
      <w:rFonts w:eastAsia="Lucida Sans Unicode" w:cs="Arial"/>
      <w:b/>
      <w:bCs/>
      <w:kern w:val="2"/>
      <w:sz w:val="26"/>
      <w:szCs w:val="26"/>
      <w:u w:val="none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0" w:right="0" w:hanging="0"/>
      <w:outlineLvl w:val="5"/>
    </w:pPr>
    <w:rPr>
      <w:rFonts w:ascii="Times New Roman" w:hAnsi="Times New Roman" w:cs="Times New Roman"/>
      <w:b/>
      <w:bCs/>
    </w:rPr>
  </w:style>
  <w:style w:type="paragraph" w:styleId="Heading9">
    <w:name w:val="Heading 9"/>
    <w:basedOn w:val="Normal"/>
    <w:next w:val="Normal"/>
    <w:qFormat/>
    <w:pPr>
      <w:widowControl w:val="false"/>
      <w:numPr>
        <w:ilvl w:val="8"/>
        <w:numId w:val="1"/>
      </w:numPr>
      <w:suppressAutoHyphens w:val="true"/>
      <w:spacing w:before="240" w:after="60"/>
      <w:ind w:left="0" w:right="0" w:hanging="0"/>
      <w:outlineLvl w:val="8"/>
    </w:pPr>
    <w:rPr>
      <w:rFonts w:eastAsia="Lucida Sans Unicode" w:cs="Arial"/>
      <w:kern w:val="2"/>
      <w:sz w:val="22"/>
      <w:szCs w:val="22"/>
      <w:u w:val="none"/>
    </w:rPr>
  </w:style>
  <w:style w:type="character" w:styleId="InternetLink">
    <w:name w:val="Internet Link"/>
    <w:rPr>
      <w:color w:val="000080"/>
      <w:u w:val="single"/>
    </w:rPr>
  </w:style>
  <w:style w:type="character" w:styleId="WW8Num2z0">
    <w:name w:val="WW8Num2z0"/>
    <w:qFormat/>
    <w:rPr>
      <w:rFonts w:ascii="Arial" w:hAnsi="Arial" w:cs="Arial"/>
      <w:position w:val="0"/>
      <w:sz w:val="20"/>
      <w:sz w:val="20"/>
      <w:szCs w:val="20"/>
      <w:vertAlign w:val="baseline"/>
    </w:rPr>
  </w:style>
  <w:style w:type="character" w:styleId="WW8Num9z0">
    <w:name w:val="WW8Num9z0"/>
    <w:qFormat/>
    <w:rPr>
      <w:rFonts w:ascii="Symbol" w:hAnsi="Symbol" w:cs="OpenSymbol;Arial Unicode MS"/>
      <w:spacing w:val="-2"/>
      <w:sz w:val="20"/>
      <w:szCs w:val="20"/>
      <w:highlight w:val="lightGray"/>
    </w:rPr>
  </w:style>
  <w:style w:type="character" w:styleId="Standardnpsmoodstavce1">
    <w:name w:val="Standardní písmo odstavce1"/>
    <w:qFormat/>
    <w:rPr/>
  </w:style>
  <w:style w:type="character" w:styleId="WW8Num4z0">
    <w:name w:val="WW8Num4z0"/>
    <w:qFormat/>
    <w:rPr>
      <w:rFonts w:ascii="Symbol" w:hAnsi="Symbol" w:cs="Arial"/>
      <w:spacing w:val="-2"/>
      <w:position w:val="0"/>
      <w:sz w:val="20"/>
      <w:sz w:val="20"/>
      <w:szCs w:val="20"/>
      <w:vertAlign w:val="baseline"/>
    </w:rPr>
  </w:style>
  <w:style w:type="character" w:styleId="WW8Num4z1">
    <w:name w:val="WW8Num4z1"/>
    <w:qFormat/>
    <w:rPr>
      <w:rFonts w:cs="Arial"/>
    </w:rPr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3z0">
    <w:name w:val="WW8Num3z0"/>
    <w:qFormat/>
    <w:rPr>
      <w:rFonts w:ascii="Arial" w:hAnsi="Arial" w:cs="Arial"/>
      <w:b/>
      <w:bCs/>
      <w:i/>
      <w:strike w:val="false"/>
      <w:dstrike w:val="false"/>
      <w:color w:val="000000"/>
      <w:spacing w:val="-5"/>
      <w:position w:val="0"/>
      <w:sz w:val="20"/>
      <w:sz w:val="20"/>
      <w:szCs w:val="20"/>
      <w:highlight w:val="lightGray"/>
      <w:vertAlign w:val="baseline"/>
    </w:rPr>
  </w:style>
  <w:style w:type="character" w:styleId="WW8Num3z1">
    <w:name w:val="WW8Num3z1"/>
    <w:qFormat/>
    <w:rPr/>
  </w:style>
  <w:style w:type="character" w:styleId="WW8Num3z2">
    <w:name w:val="WW8Num3z2"/>
    <w:qFormat/>
    <w:rPr>
      <w:rFonts w:ascii="Arial" w:hAnsi="Arial" w:cs="Arial"/>
      <w:sz w:val="20"/>
      <w:szCs w:val="20"/>
    </w:rPr>
  </w:style>
  <w:style w:type="character" w:styleId="WW8Num3z3">
    <w:name w:val="WW8Num3z3"/>
    <w:qFormat/>
    <w:rPr>
      <w:b w:val="false"/>
      <w:bCs w:val="false"/>
    </w:rPr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7z0">
    <w:name w:val="WW8Num7z0"/>
    <w:qFormat/>
    <w:rPr>
      <w:rFonts w:ascii="Arial" w:hAnsi="Arial" w:cs="Arial"/>
      <w:spacing w:val="-2"/>
    </w:rPr>
  </w:style>
  <w:style w:type="character" w:styleId="WW8Num6z0">
    <w:name w:val="WW8Num6z0"/>
    <w:qFormat/>
    <w:rPr>
      <w:rFonts w:ascii="Symbol" w:hAnsi="Symbol" w:cs="OpenSymbol;Arial Unicode MS"/>
    </w:rPr>
  </w:style>
  <w:style w:type="character" w:styleId="WW8Num8z0">
    <w:name w:val="WW8Num8z0"/>
    <w:qFormat/>
    <w:rPr>
      <w:rFonts w:ascii="Symbol" w:hAnsi="Symbol" w:cs="OpenSymbol;Arial Unicode MS"/>
      <w:spacing w:val="-2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Normln">
    <w:name w:val="Normln"/>
    <w:qFormat/>
    <w:pPr>
      <w:widowControl/>
      <w:suppressAutoHyphens w:val="true"/>
      <w:kinsoku w:val="true"/>
      <w:overflowPunct w:val="true"/>
      <w:autoSpaceDE w:val="false"/>
      <w:bidi w:val="0"/>
    </w:pPr>
    <w:rPr>
      <w:rFonts w:ascii="Arial" w:hAnsi="Arial" w:eastAsia="Times New Roman" w:cs="Arial"/>
      <w:color w:val="auto"/>
      <w:kern w:val="2"/>
      <w:sz w:val="24"/>
      <w:szCs w:val="24"/>
      <w:lang w:val="cs-CZ" w:eastAsia="zh-CN" w:bidi="ar-SA"/>
    </w:rPr>
  </w:style>
  <w:style w:type="paragraph" w:styleId="Zkladntext31">
    <w:name w:val="Základní text 31"/>
    <w:basedOn w:val="Normal"/>
    <w:qFormat/>
    <w:pPr>
      <w:spacing w:before="0" w:after="120"/>
    </w:pPr>
    <w:rPr>
      <w:sz w:val="16"/>
      <w:szCs w:val="16"/>
    </w:rPr>
  </w:style>
  <w:style w:type="paragraph" w:styleId="Normal1">
    <w:name w:val="Normal1"/>
    <w:basedOn w:val="Normal"/>
    <w:qFormat/>
    <w:pPr>
      <w:numPr>
        <w:ilvl w:val="0"/>
        <w:numId w:val="0"/>
      </w:numPr>
      <w:spacing w:lineRule="auto" w:line="288"/>
      <w:ind w:left="0" w:right="0" w:hanging="0"/>
    </w:pPr>
    <w:rPr>
      <w:szCs w:val="18"/>
    </w:rPr>
  </w:style>
  <w:style w:type="paragraph" w:styleId="Textnormy">
    <w:name w:val="Text normy"/>
    <w:qFormat/>
    <w:pPr>
      <w:widowControl/>
      <w:suppressAutoHyphens w:val="true"/>
      <w:kinsoku w:val="true"/>
      <w:overflowPunct w:val="true"/>
      <w:autoSpaceDE w:val="true"/>
      <w:bidi w:val="0"/>
      <w:spacing w:before="0" w:after="120"/>
      <w:jc w:val="both"/>
    </w:pPr>
    <w:rPr>
      <w:rFonts w:ascii="Arial" w:hAnsi="Arial" w:eastAsia="Arial" w:cs="Arial"/>
      <w:color w:val="auto"/>
      <w:kern w:val="2"/>
      <w:sz w:val="20"/>
      <w:szCs w:val="20"/>
      <w:lang w:val="cs-CZ" w:eastAsia="zh-CN" w:bidi="ar-SA"/>
    </w:rPr>
  </w:style>
  <w:style w:type="paragraph" w:styleId="Texttabulky">
    <w:name w:val="Text tabulky"/>
    <w:basedOn w:val="Textnormy"/>
    <w:qFormat/>
    <w:pPr>
      <w:suppressAutoHyphens w:val="true"/>
      <w:spacing w:before="60" w:after="60"/>
      <w:jc w:val="left"/>
    </w:pPr>
    <w:rPr>
      <w:sz w:val="18"/>
    </w:rPr>
  </w:style>
  <w:style w:type="paragraph" w:styleId="TextBodyIndent">
    <w:name w:val="Body Text Indent"/>
    <w:basedOn w:val="Normal"/>
    <w:pPr>
      <w:widowControl w:val="false"/>
      <w:suppressAutoHyphens w:val="true"/>
      <w:spacing w:before="0" w:after="120"/>
      <w:ind w:left="283" w:right="0" w:hanging="0"/>
    </w:pPr>
    <w:rPr>
      <w:rFonts w:eastAsia="Lucida Sans Unicode"/>
      <w:kern w:val="2"/>
      <w:sz w:val="22"/>
      <w:szCs w:val="24"/>
      <w:u w:val="none"/>
    </w:rPr>
  </w:style>
  <w:style w:type="paragraph" w:styleId="Zkladntext22">
    <w:name w:val="Základní text 22"/>
    <w:basedOn w:val="Normal"/>
    <w:qFormat/>
    <w:pPr>
      <w:spacing w:before="120" w:after="0"/>
    </w:pPr>
    <w:rPr>
      <w:sz w:val="24"/>
    </w:rPr>
  </w:style>
  <w:style w:type="paragraph" w:styleId="ZkladntextIMP">
    <w:name w:val="Základní text_IMP"/>
    <w:basedOn w:val="Normal"/>
    <w:qFormat/>
    <w:pPr>
      <w:widowControl w:val="false"/>
      <w:suppressAutoHyphens w:val="true"/>
      <w:overflowPunct w:val="false"/>
      <w:autoSpaceDE w:val="false"/>
      <w:spacing w:lineRule="auto" w:line="216"/>
      <w:textAlignment w:val="baseline"/>
    </w:pPr>
    <w:rPr>
      <w:rFonts w:ascii="Times New Roman" w:hAnsi="Times New Roman" w:eastAsia="Lucida Sans Unicode" w:cs="Times New Roman"/>
      <w:kern w:val="2"/>
      <w:sz w:val="24"/>
      <w:szCs w:val="20"/>
      <w:u w:val="none"/>
    </w:rPr>
  </w:style>
  <w:style w:type="paragraph" w:styleId="Text1">
    <w:name w:val="Text 1"/>
    <w:basedOn w:val="ZkladntextIMP"/>
    <w:qFormat/>
    <w:pPr>
      <w:spacing w:before="0" w:after="57"/>
      <w:ind w:left="0" w:right="0" w:firstLine="567"/>
      <w:jc w:val="both"/>
    </w:pPr>
    <w:rPr/>
  </w:style>
  <w:style w:type="paragraph" w:styleId="NadpisTabObr">
    <w:name w:val="NadpisTabObr"/>
    <w:basedOn w:val="Normal"/>
    <w:next w:val="Textnormy"/>
    <w:qFormat/>
    <w:pPr>
      <w:keepLines/>
      <w:suppressAutoHyphens w:val="true"/>
      <w:spacing w:before="120" w:after="120"/>
      <w:jc w:val="center"/>
    </w:pPr>
    <w:rPr>
      <w:rFonts w:eastAsia="Arial"/>
      <w:b/>
      <w:kern w:val="2"/>
      <w:sz w:val="20"/>
      <w:szCs w:val="20"/>
      <w:u w:val="none"/>
    </w:rPr>
  </w:style>
  <w:style w:type="paragraph" w:styleId="TextnormyCharCharChar">
    <w:name w:val="Text normy Char Char Char"/>
    <w:qFormat/>
    <w:pPr>
      <w:widowControl/>
      <w:suppressAutoHyphens w:val="true"/>
      <w:kinsoku w:val="true"/>
      <w:overflowPunct w:val="true"/>
      <w:autoSpaceDE w:val="true"/>
      <w:bidi w:val="0"/>
      <w:spacing w:before="0" w:after="120"/>
      <w:jc w:val="both"/>
    </w:pPr>
    <w:rPr>
      <w:rFonts w:ascii="Arial" w:hAnsi="Arial" w:eastAsia="Arial" w:cs="Arial"/>
      <w:color w:val="auto"/>
      <w:kern w:val="2"/>
      <w:sz w:val="20"/>
      <w:szCs w:val="20"/>
      <w:lang w:val="cs-CZ" w:eastAsia="zh-CN" w:bidi="ar-SA"/>
    </w:rPr>
  </w:style>
  <w:style w:type="paragraph" w:styleId="Zvyrazni">
    <w:name w:val="zvyrazni"/>
    <w:basedOn w:val="Normal"/>
    <w:qFormat/>
    <w:pPr>
      <w:widowControl w:val="false"/>
      <w:suppressAutoHyphens w:val="true"/>
      <w:spacing w:before="240" w:after="120"/>
      <w:jc w:val="both"/>
    </w:pPr>
    <w:rPr>
      <w:rFonts w:ascii="Times New Roman" w:hAnsi="Times New Roman" w:eastAsia="Lucida Sans Unicode" w:cs="Times New Roman"/>
      <w:b/>
      <w:kern w:val="2"/>
      <w:sz w:val="20"/>
      <w:szCs w:val="20"/>
      <w:u w:val="none"/>
    </w:rPr>
  </w:style>
  <w:style w:type="paragraph" w:styleId="Odsazen">
    <w:name w:val="Odsazení"/>
    <w:basedOn w:val="Normal"/>
    <w:qFormat/>
    <w:pPr>
      <w:widowControl w:val="false"/>
      <w:suppressAutoHyphens w:val="true"/>
      <w:spacing w:before="0" w:after="120"/>
      <w:jc w:val="both"/>
    </w:pPr>
    <w:rPr>
      <w:rFonts w:eastAsia="Lucida Sans Unicode"/>
      <w:kern w:val="2"/>
      <w:sz w:val="28"/>
      <w:szCs w:val="28"/>
      <w:u w:val="none"/>
    </w:rPr>
  </w:style>
  <w:style w:type="paragraph" w:styleId="Zkladntext21">
    <w:name w:val="Základní text 21"/>
    <w:basedOn w:val="Normal"/>
    <w:qFormat/>
    <w:pPr>
      <w:widowControl w:val="false"/>
      <w:suppressAutoHyphens w:val="true"/>
      <w:spacing w:lineRule="auto" w:line="480" w:before="0" w:after="120"/>
    </w:pPr>
    <w:rPr>
      <w:rFonts w:eastAsia="Lucida Sans Unicode"/>
      <w:kern w:val="2"/>
      <w:sz w:val="22"/>
      <w:szCs w:val="24"/>
      <w:u w:val="none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Zkladntext">
    <w:name w:val="_Základní text"/>
    <w:basedOn w:val="Normal"/>
    <w:qFormat/>
    <w:pPr>
      <w:widowControl w:val="false"/>
      <w:suppressAutoHyphens w:val="true"/>
      <w:spacing w:lineRule="atLeast" w:line="100" w:before="120" w:after="0"/>
      <w:ind w:left="0" w:right="0" w:firstLine="567"/>
      <w:jc w:val="both"/>
    </w:pPr>
    <w:rPr>
      <w:rFonts w:ascii="Times New Roman" w:hAnsi="Times New Roman" w:eastAsia="SimSun;宋体" w:cs="Mangal"/>
      <w:kern w:val="2"/>
      <w:sz w:val="24"/>
      <w:szCs w:val="20"/>
      <w:lang w:bidi="hi-IN"/>
    </w:rPr>
  </w:style>
  <w:style w:type="paragraph" w:styleId="Odstavec">
    <w:name w:val="odstavec"/>
    <w:basedOn w:val="Normal"/>
    <w:qFormat/>
    <w:pPr>
      <w:widowControl w:val="false"/>
      <w:suppressAutoHyphens w:val="true"/>
      <w:ind w:left="0" w:right="0" w:firstLine="284"/>
      <w:jc w:val="both"/>
    </w:pPr>
    <w:rPr>
      <w:rFonts w:eastAsia="Lucida Sans Unicode"/>
      <w:kern w:val="2"/>
      <w:sz w:val="22"/>
      <w:szCs w:val="24"/>
      <w:u w:val="none"/>
    </w:rPr>
  </w:style>
  <w:style w:type="paragraph" w:styleId="Textbody1">
    <w:name w:val="Text body"/>
    <w:basedOn w:val="Normal"/>
    <w:qFormat/>
    <w:pPr>
      <w:spacing w:lineRule="atLeast" w:line="100"/>
      <w:ind w:left="2832" w:right="0" w:firstLine="708"/>
      <w:jc w:val="center"/>
    </w:pPr>
    <w:rPr>
      <w:b/>
      <w:sz w:val="20"/>
      <w:szCs w:val="20"/>
      <w:u w:val="single"/>
    </w:rPr>
  </w:style>
  <w:style w:type="paragraph" w:styleId="ABCseznamCZ">
    <w:name w:val="ABC seznamCZ"/>
    <w:basedOn w:val="Textnormy"/>
    <w:qFormat/>
    <w:pPr>
      <w:numPr>
        <w:ilvl w:val="0"/>
        <w:numId w:val="4"/>
      </w:numPr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WW8Num2">
    <w:name w:val="WW8Num2"/>
    <w:qFormat/>
  </w:style>
  <w:style w:type="numbering" w:styleId="WW8Num9">
    <w:name w:val="WW8Num9"/>
    <w:qFormat/>
  </w:style>
  <w:style w:type="numbering" w:styleId="WW8Num4">
    <w:name w:val="WW8Num4"/>
    <w:qFormat/>
  </w:style>
  <w:style w:type="numbering" w:styleId="WW8Num3">
    <w:name w:val="WW8Num3"/>
    <w:qFormat/>
  </w:style>
  <w:style w:type="numbering" w:styleId="WW8Num7">
    <w:name w:val="WW8Num7"/>
    <w:qFormat/>
  </w:style>
  <w:style w:type="numbering" w:styleId="WW8Num6">
    <w:name w:val="WW8Num6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ermakova.svatava@gmail.com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372</TotalTime>
  <Application>LibreOffice/6.3.4.2$Windows_X86_64 LibreOffice_project/60da17e045e08f1793c57c00ba83cdfce946d0aa</Application>
  <Pages>12</Pages>
  <Words>4693</Words>
  <CharactersWithSpaces>32778</CharactersWithSpaces>
  <Paragraphs>489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2020-03-13T13:04:41Z</dcterms:created>
  <dc:creator>Svatava Čermáková</dc:creator>
  <dc:description/>
  <dc:language>cs-CZ</dc:language>
  <cp:lastModifiedBy>Svatava Čermáková</cp:lastModifiedBy>
  <dcterms:modified xsi:type="dcterms:W3CDTF">2020-03-16T15:11:46Z</dcterms:modified>
  <cp:revision>11</cp:revision>
  <dc:subject/>
  <dc:title/>
</cp:coreProperties>
</file>